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6220F">
      <w:pPr>
        <w:tabs>
          <w:tab w:val="left" w:pos="1092"/>
          <w:tab w:val="center" w:pos="7152"/>
        </w:tabs>
        <w:spacing w:line="580" w:lineRule="exact"/>
        <w:jc w:val="center"/>
        <w:rPr>
          <w:rFonts w:hint="default"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eastAsia="zh-CN"/>
        </w:rPr>
        <w:t>西安市</w:t>
      </w:r>
      <w:r>
        <w:rPr>
          <w:rFonts w:hint="eastAsia" w:ascii="方正小标宋简体" w:hAnsi="方正小标宋简体" w:eastAsia="方正小标宋简体" w:cs="方正小标宋简体"/>
          <w:kern w:val="0"/>
          <w:sz w:val="36"/>
          <w:szCs w:val="36"/>
        </w:rPr>
        <w:t>灞桥区</w:t>
      </w:r>
      <w:r>
        <w:rPr>
          <w:rFonts w:hint="eastAsia" w:ascii="方正小标宋简体" w:hAnsi="方正小标宋简体" w:eastAsia="方正小标宋简体" w:cs="方正小标宋简体"/>
          <w:kern w:val="0"/>
          <w:sz w:val="36"/>
          <w:szCs w:val="36"/>
          <w:lang w:eastAsia="zh-CN"/>
        </w:rPr>
        <w:t>农业农村局</w:t>
      </w:r>
      <w:r>
        <w:rPr>
          <w:rFonts w:hint="eastAsia" w:ascii="方正小标宋简体" w:hAnsi="方正小标宋简体" w:eastAsia="方正小标宋简体" w:cs="方正小标宋简体"/>
          <w:kern w:val="0"/>
          <w:sz w:val="36"/>
          <w:szCs w:val="36"/>
        </w:rPr>
        <w:t>202</w:t>
      </w:r>
      <w:r>
        <w:rPr>
          <w:rFonts w:hint="eastAsia" w:ascii="方正小标宋简体" w:hAnsi="方正小标宋简体" w:eastAsia="方正小标宋简体" w:cs="方正小标宋简体"/>
          <w:kern w:val="0"/>
          <w:sz w:val="36"/>
          <w:szCs w:val="36"/>
          <w:lang w:val="en-US" w:eastAsia="zh-CN"/>
        </w:rPr>
        <w:t>5</w:t>
      </w:r>
      <w:r>
        <w:rPr>
          <w:rFonts w:hint="eastAsia" w:ascii="方正小标宋简体" w:hAnsi="方正小标宋简体" w:eastAsia="方正小标宋简体" w:cs="方正小标宋简体"/>
          <w:kern w:val="0"/>
          <w:sz w:val="36"/>
          <w:szCs w:val="36"/>
        </w:rPr>
        <w:t>年</w:t>
      </w:r>
      <w:r>
        <w:rPr>
          <w:rFonts w:hint="eastAsia" w:ascii="方正小标宋简体" w:hAnsi="方正小标宋简体" w:eastAsia="方正小标宋简体" w:cs="方正小标宋简体"/>
          <w:kern w:val="0"/>
          <w:sz w:val="36"/>
          <w:szCs w:val="36"/>
          <w:lang w:val="en-US" w:eastAsia="zh-CN"/>
        </w:rPr>
        <w:t>11月21日项目评审汇总表</w:t>
      </w:r>
    </w:p>
    <w:tbl>
      <w:tblPr>
        <w:tblStyle w:val="4"/>
        <w:tblW w:w="14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9"/>
        <w:gridCol w:w="1230"/>
        <w:gridCol w:w="1305"/>
        <w:gridCol w:w="810"/>
        <w:gridCol w:w="660"/>
        <w:gridCol w:w="550"/>
        <w:gridCol w:w="2842"/>
        <w:gridCol w:w="2548"/>
        <w:gridCol w:w="795"/>
        <w:gridCol w:w="570"/>
        <w:gridCol w:w="555"/>
        <w:gridCol w:w="585"/>
        <w:gridCol w:w="690"/>
        <w:gridCol w:w="588"/>
      </w:tblGrid>
      <w:tr w14:paraId="671A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tblHeader/>
          <w:jc w:val="center"/>
        </w:trPr>
        <w:tc>
          <w:tcPr>
            <w:tcW w:w="619" w:type="dxa"/>
            <w:vMerge w:val="restart"/>
            <w:noWrap/>
            <w:vAlign w:val="center"/>
          </w:tcPr>
          <w:p w14:paraId="4C337D78">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1230" w:type="dxa"/>
            <w:vMerge w:val="restart"/>
            <w:noWrap/>
            <w:vAlign w:val="center"/>
          </w:tcPr>
          <w:p w14:paraId="2A4B98F4">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项目名称</w:t>
            </w:r>
          </w:p>
        </w:tc>
        <w:tc>
          <w:tcPr>
            <w:tcW w:w="1305" w:type="dxa"/>
            <w:vMerge w:val="restart"/>
            <w:noWrap/>
            <w:vAlign w:val="center"/>
          </w:tcPr>
          <w:p w14:paraId="5A57BFCA">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项目建设单位及负责人</w:t>
            </w:r>
          </w:p>
        </w:tc>
        <w:tc>
          <w:tcPr>
            <w:tcW w:w="810" w:type="dxa"/>
            <w:vMerge w:val="restart"/>
            <w:noWrap/>
            <w:vAlign w:val="center"/>
          </w:tcPr>
          <w:p w14:paraId="3D515112">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建设</w:t>
            </w:r>
          </w:p>
          <w:p w14:paraId="45BEBD75">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地点</w:t>
            </w:r>
          </w:p>
        </w:tc>
        <w:tc>
          <w:tcPr>
            <w:tcW w:w="660" w:type="dxa"/>
            <w:vMerge w:val="restart"/>
            <w:noWrap/>
            <w:vAlign w:val="center"/>
          </w:tcPr>
          <w:p w14:paraId="085BEB99">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建设</w:t>
            </w:r>
          </w:p>
          <w:p w14:paraId="75B95C24">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年限</w:t>
            </w:r>
          </w:p>
        </w:tc>
        <w:tc>
          <w:tcPr>
            <w:tcW w:w="550" w:type="dxa"/>
            <w:vMerge w:val="restart"/>
            <w:noWrap/>
            <w:vAlign w:val="center"/>
          </w:tcPr>
          <w:p w14:paraId="15114998">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建设性质</w:t>
            </w:r>
          </w:p>
        </w:tc>
        <w:tc>
          <w:tcPr>
            <w:tcW w:w="2842" w:type="dxa"/>
            <w:vMerge w:val="restart"/>
            <w:noWrap/>
            <w:vAlign w:val="center"/>
          </w:tcPr>
          <w:p w14:paraId="16FFB4F6">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建设规模</w:t>
            </w:r>
            <w:bookmarkStart w:id="0" w:name="_GoBack"/>
            <w:bookmarkEnd w:id="0"/>
            <w:r>
              <w:rPr>
                <w:rFonts w:hint="eastAsia" w:ascii="黑体" w:hAnsi="黑体" w:eastAsia="黑体" w:cs="黑体"/>
                <w:b w:val="0"/>
                <w:bCs w:val="0"/>
                <w:sz w:val="21"/>
                <w:szCs w:val="21"/>
              </w:rPr>
              <w:t>及主要内容</w:t>
            </w:r>
          </w:p>
        </w:tc>
        <w:tc>
          <w:tcPr>
            <w:tcW w:w="2548" w:type="dxa"/>
            <w:vMerge w:val="restart"/>
            <w:noWrap/>
            <w:vAlign w:val="center"/>
          </w:tcPr>
          <w:p w14:paraId="4A72BCBE">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财政扶持环节</w:t>
            </w:r>
          </w:p>
        </w:tc>
        <w:tc>
          <w:tcPr>
            <w:tcW w:w="795" w:type="dxa"/>
            <w:vMerge w:val="restart"/>
            <w:noWrap/>
            <w:vAlign w:val="center"/>
          </w:tcPr>
          <w:p w14:paraId="2B08CCE3">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投资</w:t>
            </w:r>
          </w:p>
          <w:p w14:paraId="4F959715">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总额</w:t>
            </w:r>
          </w:p>
          <w:p w14:paraId="2081EE03">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（万元）</w:t>
            </w:r>
          </w:p>
        </w:tc>
        <w:tc>
          <w:tcPr>
            <w:tcW w:w="2400" w:type="dxa"/>
            <w:gridSpan w:val="4"/>
            <w:noWrap/>
            <w:vAlign w:val="center"/>
          </w:tcPr>
          <w:p w14:paraId="6F1C179F">
            <w:pPr>
              <w:spacing w:line="28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资金来源（万元）</w:t>
            </w:r>
          </w:p>
        </w:tc>
        <w:tc>
          <w:tcPr>
            <w:tcW w:w="588" w:type="dxa"/>
            <w:vMerge w:val="restart"/>
            <w:noWrap/>
            <w:vAlign w:val="center"/>
          </w:tcPr>
          <w:p w14:paraId="14584ADB">
            <w:pPr>
              <w:spacing w:line="280" w:lineRule="exact"/>
              <w:jc w:val="center"/>
              <w:rPr>
                <w:rFonts w:hint="eastAsia" w:ascii="黑体" w:hAnsi="黑体" w:eastAsia="黑体" w:cs="黑体"/>
                <w:b w:val="0"/>
                <w:bCs w:val="0"/>
                <w:sz w:val="18"/>
                <w:szCs w:val="18"/>
              </w:rPr>
            </w:pPr>
            <w:r>
              <w:rPr>
                <w:rFonts w:hint="eastAsia" w:ascii="黑体" w:hAnsi="黑体" w:eastAsia="黑体" w:cs="黑体"/>
                <w:b w:val="0"/>
                <w:bCs w:val="0"/>
                <w:sz w:val="21"/>
                <w:szCs w:val="21"/>
                <w:lang w:val="en-US" w:eastAsia="zh-CN"/>
              </w:rPr>
              <w:t>是否通过评审</w:t>
            </w:r>
          </w:p>
        </w:tc>
      </w:tr>
      <w:tr w14:paraId="4BB6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blHeader/>
          <w:jc w:val="center"/>
        </w:trPr>
        <w:tc>
          <w:tcPr>
            <w:tcW w:w="619" w:type="dxa"/>
            <w:vMerge w:val="continue"/>
            <w:noWrap/>
            <w:vAlign w:val="center"/>
          </w:tcPr>
          <w:p w14:paraId="45D67AA8">
            <w:pPr>
              <w:spacing w:line="280" w:lineRule="exact"/>
              <w:rPr>
                <w:rFonts w:ascii="黑体" w:eastAsia="黑体"/>
                <w:sz w:val="21"/>
                <w:szCs w:val="21"/>
              </w:rPr>
            </w:pPr>
          </w:p>
        </w:tc>
        <w:tc>
          <w:tcPr>
            <w:tcW w:w="1230" w:type="dxa"/>
            <w:vMerge w:val="continue"/>
            <w:noWrap/>
            <w:vAlign w:val="center"/>
          </w:tcPr>
          <w:p w14:paraId="112D20C0">
            <w:pPr>
              <w:spacing w:line="280" w:lineRule="exact"/>
              <w:rPr>
                <w:rFonts w:ascii="黑体" w:eastAsia="黑体"/>
                <w:sz w:val="21"/>
                <w:szCs w:val="21"/>
              </w:rPr>
            </w:pPr>
          </w:p>
        </w:tc>
        <w:tc>
          <w:tcPr>
            <w:tcW w:w="1305" w:type="dxa"/>
            <w:vMerge w:val="continue"/>
            <w:noWrap/>
            <w:vAlign w:val="center"/>
          </w:tcPr>
          <w:p w14:paraId="01F81103">
            <w:pPr>
              <w:spacing w:line="280" w:lineRule="exact"/>
              <w:jc w:val="center"/>
              <w:rPr>
                <w:rFonts w:ascii="黑体" w:eastAsia="黑体"/>
                <w:sz w:val="21"/>
                <w:szCs w:val="21"/>
              </w:rPr>
            </w:pPr>
          </w:p>
        </w:tc>
        <w:tc>
          <w:tcPr>
            <w:tcW w:w="810" w:type="dxa"/>
            <w:vMerge w:val="continue"/>
            <w:noWrap/>
            <w:vAlign w:val="center"/>
          </w:tcPr>
          <w:p w14:paraId="66DA691A">
            <w:pPr>
              <w:spacing w:line="280" w:lineRule="exact"/>
              <w:jc w:val="center"/>
              <w:rPr>
                <w:rFonts w:ascii="黑体" w:eastAsia="黑体"/>
                <w:sz w:val="21"/>
                <w:szCs w:val="21"/>
              </w:rPr>
            </w:pPr>
          </w:p>
        </w:tc>
        <w:tc>
          <w:tcPr>
            <w:tcW w:w="660" w:type="dxa"/>
            <w:vMerge w:val="continue"/>
            <w:noWrap/>
            <w:vAlign w:val="center"/>
          </w:tcPr>
          <w:p w14:paraId="518BD31F">
            <w:pPr>
              <w:spacing w:line="280" w:lineRule="exact"/>
              <w:rPr>
                <w:rFonts w:ascii="黑体" w:eastAsia="黑体"/>
                <w:sz w:val="21"/>
                <w:szCs w:val="21"/>
              </w:rPr>
            </w:pPr>
          </w:p>
        </w:tc>
        <w:tc>
          <w:tcPr>
            <w:tcW w:w="550" w:type="dxa"/>
            <w:vMerge w:val="continue"/>
            <w:noWrap/>
            <w:vAlign w:val="center"/>
          </w:tcPr>
          <w:p w14:paraId="04B43E75">
            <w:pPr>
              <w:spacing w:line="280" w:lineRule="exact"/>
              <w:rPr>
                <w:rFonts w:ascii="黑体" w:eastAsia="黑体"/>
                <w:sz w:val="21"/>
                <w:szCs w:val="21"/>
              </w:rPr>
            </w:pPr>
          </w:p>
        </w:tc>
        <w:tc>
          <w:tcPr>
            <w:tcW w:w="2842" w:type="dxa"/>
            <w:vMerge w:val="continue"/>
            <w:noWrap/>
            <w:vAlign w:val="center"/>
          </w:tcPr>
          <w:p w14:paraId="04003589">
            <w:pPr>
              <w:spacing w:line="280" w:lineRule="exact"/>
              <w:rPr>
                <w:rFonts w:ascii="黑体" w:eastAsia="黑体"/>
                <w:sz w:val="21"/>
                <w:szCs w:val="21"/>
              </w:rPr>
            </w:pPr>
          </w:p>
        </w:tc>
        <w:tc>
          <w:tcPr>
            <w:tcW w:w="2548" w:type="dxa"/>
            <w:vMerge w:val="continue"/>
            <w:noWrap/>
            <w:vAlign w:val="center"/>
          </w:tcPr>
          <w:p w14:paraId="4CE1C11A">
            <w:pPr>
              <w:spacing w:line="280" w:lineRule="exact"/>
              <w:rPr>
                <w:rFonts w:ascii="黑体" w:eastAsia="黑体"/>
                <w:sz w:val="21"/>
                <w:szCs w:val="21"/>
              </w:rPr>
            </w:pPr>
          </w:p>
        </w:tc>
        <w:tc>
          <w:tcPr>
            <w:tcW w:w="795" w:type="dxa"/>
            <w:vMerge w:val="continue"/>
            <w:noWrap/>
            <w:vAlign w:val="center"/>
          </w:tcPr>
          <w:p w14:paraId="1E6C1509">
            <w:pPr>
              <w:spacing w:line="280" w:lineRule="exact"/>
              <w:jc w:val="center"/>
              <w:rPr>
                <w:rFonts w:ascii="黑体" w:eastAsia="黑体"/>
                <w:sz w:val="21"/>
                <w:szCs w:val="21"/>
              </w:rPr>
            </w:pPr>
          </w:p>
        </w:tc>
        <w:tc>
          <w:tcPr>
            <w:tcW w:w="570" w:type="dxa"/>
            <w:noWrap/>
            <w:vAlign w:val="center"/>
          </w:tcPr>
          <w:p w14:paraId="37B75359">
            <w:pPr>
              <w:spacing w:line="280" w:lineRule="exact"/>
              <w:jc w:val="center"/>
              <w:rPr>
                <w:rFonts w:ascii="黑体" w:eastAsia="黑体"/>
                <w:sz w:val="21"/>
                <w:szCs w:val="21"/>
              </w:rPr>
            </w:pPr>
            <w:r>
              <w:rPr>
                <w:rFonts w:hint="eastAsia" w:ascii="黑体" w:eastAsia="黑体"/>
                <w:sz w:val="21"/>
                <w:szCs w:val="21"/>
              </w:rPr>
              <w:t>贷款</w:t>
            </w:r>
          </w:p>
        </w:tc>
        <w:tc>
          <w:tcPr>
            <w:tcW w:w="555" w:type="dxa"/>
            <w:noWrap/>
            <w:vAlign w:val="center"/>
          </w:tcPr>
          <w:p w14:paraId="7BDF586A">
            <w:pPr>
              <w:spacing w:line="280" w:lineRule="exact"/>
              <w:jc w:val="center"/>
              <w:rPr>
                <w:rFonts w:ascii="黑体" w:eastAsia="黑体"/>
                <w:sz w:val="21"/>
                <w:szCs w:val="21"/>
              </w:rPr>
            </w:pPr>
            <w:r>
              <w:rPr>
                <w:rFonts w:hint="eastAsia" w:ascii="黑体" w:eastAsia="黑体"/>
                <w:sz w:val="21"/>
                <w:szCs w:val="21"/>
              </w:rPr>
              <w:t>自筹</w:t>
            </w:r>
          </w:p>
        </w:tc>
        <w:tc>
          <w:tcPr>
            <w:tcW w:w="585" w:type="dxa"/>
            <w:noWrap/>
            <w:vAlign w:val="center"/>
          </w:tcPr>
          <w:p w14:paraId="7B278655">
            <w:pPr>
              <w:spacing w:line="280" w:lineRule="exact"/>
              <w:jc w:val="center"/>
              <w:rPr>
                <w:rFonts w:ascii="黑体" w:eastAsia="黑体"/>
                <w:sz w:val="21"/>
                <w:szCs w:val="21"/>
              </w:rPr>
            </w:pPr>
            <w:r>
              <w:rPr>
                <w:rFonts w:hint="eastAsia" w:ascii="黑体" w:eastAsia="黑体"/>
                <w:sz w:val="21"/>
                <w:szCs w:val="21"/>
              </w:rPr>
              <w:t>区县</w:t>
            </w:r>
          </w:p>
          <w:p w14:paraId="38BD17EB">
            <w:pPr>
              <w:spacing w:line="280" w:lineRule="exact"/>
              <w:jc w:val="center"/>
              <w:rPr>
                <w:rFonts w:ascii="黑体" w:eastAsia="黑体"/>
                <w:sz w:val="21"/>
                <w:szCs w:val="21"/>
              </w:rPr>
            </w:pPr>
            <w:r>
              <w:rPr>
                <w:rFonts w:hint="eastAsia" w:ascii="黑体" w:eastAsia="黑体"/>
                <w:sz w:val="21"/>
                <w:szCs w:val="21"/>
              </w:rPr>
              <w:t>配套</w:t>
            </w:r>
          </w:p>
        </w:tc>
        <w:tc>
          <w:tcPr>
            <w:tcW w:w="690" w:type="dxa"/>
            <w:noWrap/>
            <w:vAlign w:val="center"/>
          </w:tcPr>
          <w:p w14:paraId="1E51D1DE">
            <w:pPr>
              <w:spacing w:line="280" w:lineRule="exact"/>
              <w:jc w:val="center"/>
              <w:rPr>
                <w:rFonts w:ascii="黑体" w:eastAsia="黑体"/>
                <w:sz w:val="21"/>
                <w:szCs w:val="21"/>
              </w:rPr>
            </w:pPr>
            <w:r>
              <w:rPr>
                <w:rFonts w:hint="eastAsia" w:ascii="黑体" w:eastAsia="黑体"/>
                <w:sz w:val="21"/>
                <w:szCs w:val="21"/>
              </w:rPr>
              <w:t>市上</w:t>
            </w:r>
          </w:p>
          <w:p w14:paraId="064F6ACB">
            <w:pPr>
              <w:spacing w:line="280" w:lineRule="exact"/>
              <w:jc w:val="center"/>
              <w:rPr>
                <w:rFonts w:ascii="黑体" w:eastAsia="黑体"/>
                <w:sz w:val="21"/>
                <w:szCs w:val="21"/>
              </w:rPr>
            </w:pPr>
            <w:r>
              <w:rPr>
                <w:rFonts w:hint="eastAsia" w:ascii="黑体" w:eastAsia="黑体"/>
                <w:sz w:val="21"/>
                <w:szCs w:val="21"/>
              </w:rPr>
              <w:t>扶持</w:t>
            </w:r>
          </w:p>
        </w:tc>
        <w:tc>
          <w:tcPr>
            <w:tcW w:w="588" w:type="dxa"/>
            <w:vMerge w:val="continue"/>
            <w:noWrap/>
            <w:vAlign w:val="center"/>
          </w:tcPr>
          <w:p w14:paraId="446060D2">
            <w:pPr>
              <w:spacing w:line="280" w:lineRule="exact"/>
              <w:jc w:val="center"/>
              <w:rPr>
                <w:rFonts w:ascii="黑体" w:eastAsia="黑体"/>
                <w:sz w:val="18"/>
                <w:szCs w:val="18"/>
              </w:rPr>
            </w:pPr>
          </w:p>
        </w:tc>
      </w:tr>
      <w:tr w14:paraId="4F2C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4347" w:type="dxa"/>
            <w:gridSpan w:val="14"/>
            <w:noWrap/>
            <w:vAlign w:val="center"/>
          </w:tcPr>
          <w:p w14:paraId="6211F344">
            <w:pPr>
              <w:spacing w:line="2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1"/>
                <w:szCs w:val="21"/>
              </w:rPr>
              <w:t>类别：</w:t>
            </w:r>
            <w:r>
              <w:rPr>
                <w:rFonts w:hint="eastAsia" w:ascii="仿宋_GB2312" w:hAnsi="仿宋_GB2312" w:eastAsia="仿宋_GB2312" w:cs="仿宋_GB2312"/>
                <w:kern w:val="0"/>
                <w:sz w:val="21"/>
                <w:szCs w:val="21"/>
                <w:lang w:val="en-US" w:eastAsia="zh-CN"/>
              </w:rPr>
              <w:t>非洲猪瘟等重大动物疫病及人畜共患病防控应急工作项目</w:t>
            </w:r>
            <w:r>
              <w:rPr>
                <w:rFonts w:hint="eastAsia" w:ascii="宋体" w:hAnsi="宋体"/>
                <w:kern w:val="0"/>
                <w:sz w:val="24"/>
                <w:szCs w:val="24"/>
                <w:lang w:val="en-US" w:eastAsia="zh-CN"/>
              </w:rPr>
              <w:t xml:space="preserve"> </w:t>
            </w:r>
            <w:r>
              <w:rPr>
                <w:rFonts w:hint="eastAsia" w:ascii="方正小标宋简体" w:hAnsi="方正小标宋简体" w:eastAsia="方正小标宋简体" w:cs="方正小标宋简体"/>
                <w:kern w:val="0"/>
                <w:sz w:val="24"/>
                <w:szCs w:val="24"/>
              </w:rPr>
              <w:t>2025年第</w:t>
            </w:r>
            <w:r>
              <w:rPr>
                <w:rFonts w:hint="eastAsia" w:ascii="方正小标宋简体" w:hAnsi="方正小标宋简体" w:eastAsia="方正小标宋简体" w:cs="方正小标宋简体"/>
                <w:kern w:val="0"/>
                <w:sz w:val="24"/>
                <w:szCs w:val="24"/>
                <w:lang w:val="en-US" w:eastAsia="zh-CN"/>
              </w:rPr>
              <w:t>一</w:t>
            </w:r>
            <w:r>
              <w:rPr>
                <w:rFonts w:hint="eastAsia" w:ascii="方正小标宋简体" w:hAnsi="方正小标宋简体" w:eastAsia="方正小标宋简体" w:cs="方正小标宋简体"/>
                <w:kern w:val="0"/>
                <w:sz w:val="24"/>
                <w:szCs w:val="24"/>
              </w:rPr>
              <w:t>批</w:t>
            </w:r>
            <w:r>
              <w:rPr>
                <w:rFonts w:hint="eastAsia" w:ascii="方正小标宋简体" w:hAnsi="方正小标宋简体" w:eastAsia="方正小标宋简体" w:cs="方正小标宋简体"/>
                <w:kern w:val="0"/>
                <w:sz w:val="24"/>
                <w:szCs w:val="24"/>
                <w:lang w:val="en-US" w:eastAsia="zh-CN"/>
              </w:rPr>
              <w:t>市</w:t>
            </w:r>
            <w:r>
              <w:rPr>
                <w:rFonts w:hint="eastAsia" w:ascii="方正小标宋简体" w:hAnsi="方正小标宋简体" w:eastAsia="方正小标宋简体" w:cs="方正小标宋简体"/>
                <w:kern w:val="0"/>
                <w:sz w:val="24"/>
                <w:szCs w:val="24"/>
              </w:rPr>
              <w:t>级</w:t>
            </w:r>
            <w:r>
              <w:rPr>
                <w:rFonts w:hint="eastAsia" w:ascii="方正小标宋简体" w:hAnsi="方正小标宋简体" w:eastAsia="方正小标宋简体" w:cs="方正小标宋简体"/>
                <w:kern w:val="0"/>
                <w:sz w:val="24"/>
                <w:szCs w:val="24"/>
                <w:lang w:val="en-US" w:eastAsia="zh-CN"/>
              </w:rPr>
              <w:t>财政</w:t>
            </w:r>
            <w:r>
              <w:rPr>
                <w:rFonts w:hint="eastAsia" w:ascii="方正小标宋简体" w:hAnsi="方正小标宋简体" w:eastAsia="方正小标宋简体" w:cs="方正小标宋简体"/>
                <w:kern w:val="0"/>
                <w:sz w:val="24"/>
                <w:szCs w:val="24"/>
              </w:rPr>
              <w:t>农业</w:t>
            </w:r>
            <w:r>
              <w:rPr>
                <w:rFonts w:hint="eastAsia" w:ascii="方正小标宋简体" w:hAnsi="方正小标宋简体" w:eastAsia="方正小标宋简体" w:cs="方正小标宋简体"/>
                <w:kern w:val="0"/>
                <w:sz w:val="24"/>
                <w:szCs w:val="24"/>
                <w:lang w:val="en-US" w:eastAsia="zh-CN"/>
              </w:rPr>
              <w:t>农村发展</w:t>
            </w:r>
            <w:r>
              <w:rPr>
                <w:rFonts w:hint="eastAsia" w:ascii="方正小标宋简体" w:hAnsi="方正小标宋简体" w:eastAsia="方正小标宋简体" w:cs="方正小标宋简体"/>
                <w:kern w:val="0"/>
                <w:sz w:val="24"/>
                <w:szCs w:val="24"/>
              </w:rPr>
              <w:t>专项资金</w:t>
            </w:r>
            <w:r>
              <w:rPr>
                <w:rFonts w:hint="eastAsia" w:ascii="方正小标宋简体" w:hAnsi="方正小标宋简体" w:eastAsia="方正小标宋简体" w:cs="方正小标宋简体"/>
                <w:kern w:val="0"/>
                <w:sz w:val="24"/>
                <w:szCs w:val="24"/>
                <w:lang w:val="en-US" w:eastAsia="zh-CN"/>
              </w:rPr>
              <w:t>项目</w:t>
            </w:r>
            <w:r>
              <w:rPr>
                <w:rFonts w:hint="eastAsia" w:ascii="方正小标宋简体" w:hAnsi="方正小标宋简体" w:eastAsia="方正小标宋简体" w:cs="方正小标宋简体"/>
                <w:sz w:val="24"/>
                <w:szCs w:val="24"/>
              </w:rPr>
              <w:t>（市农发 ﹝2025﹞</w:t>
            </w:r>
            <w:r>
              <w:rPr>
                <w:rFonts w:hint="eastAsia" w:ascii="方正小标宋简体" w:hAnsi="方正小标宋简体" w:eastAsia="方正小标宋简体" w:cs="方正小标宋简体"/>
                <w:sz w:val="24"/>
                <w:szCs w:val="24"/>
                <w:lang w:val="en-US" w:eastAsia="zh-CN"/>
              </w:rPr>
              <w:t>87</w:t>
            </w:r>
            <w:r>
              <w:rPr>
                <w:rFonts w:hint="eastAsia" w:ascii="方正小标宋简体" w:hAnsi="方正小标宋简体" w:eastAsia="方正小标宋简体" w:cs="方正小标宋简体"/>
                <w:sz w:val="24"/>
                <w:szCs w:val="24"/>
              </w:rPr>
              <w:t>号）</w:t>
            </w:r>
          </w:p>
        </w:tc>
      </w:tr>
      <w:tr w14:paraId="7A27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19" w:type="dxa"/>
            <w:shd w:val="clear" w:color="auto" w:fill="auto"/>
            <w:noWrap/>
            <w:vAlign w:val="center"/>
          </w:tcPr>
          <w:p w14:paraId="1BFFD2D9">
            <w:pPr>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p>
        </w:tc>
        <w:tc>
          <w:tcPr>
            <w:tcW w:w="1230" w:type="dxa"/>
            <w:shd w:val="clear" w:color="auto" w:fill="auto"/>
            <w:noWrap/>
            <w:vAlign w:val="center"/>
          </w:tcPr>
          <w:p w14:paraId="5D5BF4AE">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病死动物无害化处理体系建设项目</w:t>
            </w:r>
          </w:p>
        </w:tc>
        <w:tc>
          <w:tcPr>
            <w:tcW w:w="1305" w:type="dxa"/>
            <w:shd w:val="clear" w:color="auto" w:fill="auto"/>
            <w:noWrap/>
            <w:vAlign w:val="center"/>
          </w:tcPr>
          <w:p w14:paraId="7C322CE0">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灞桥区动物疾病预防控制中心</w:t>
            </w:r>
            <w:r>
              <w:rPr>
                <w:rFonts w:hint="eastAsia" w:ascii="仿宋_GB2312" w:hAnsi="仿宋_GB2312" w:eastAsia="仿宋_GB2312" w:cs="仿宋_GB2312"/>
                <w:sz w:val="28"/>
                <w:szCs w:val="28"/>
                <w:lang w:val="en-US" w:eastAsia="zh-CN"/>
              </w:rPr>
              <w:t xml:space="preserve">   </w:t>
            </w:r>
          </w:p>
          <w:p w14:paraId="25EBFA5B">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刘新忠</w:t>
            </w:r>
          </w:p>
        </w:tc>
        <w:tc>
          <w:tcPr>
            <w:tcW w:w="810" w:type="dxa"/>
            <w:shd w:val="clear" w:color="auto" w:fill="auto"/>
            <w:noWrap/>
            <w:vAlign w:val="center"/>
          </w:tcPr>
          <w:p w14:paraId="6F7F760D">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全区范围内</w:t>
            </w:r>
          </w:p>
        </w:tc>
        <w:tc>
          <w:tcPr>
            <w:tcW w:w="660" w:type="dxa"/>
            <w:shd w:val="clear" w:color="auto" w:fill="auto"/>
            <w:noWrap/>
            <w:vAlign w:val="center"/>
          </w:tcPr>
          <w:p w14:paraId="375AFA35">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一年</w:t>
            </w:r>
          </w:p>
        </w:tc>
        <w:tc>
          <w:tcPr>
            <w:tcW w:w="550" w:type="dxa"/>
            <w:shd w:val="clear" w:color="auto" w:fill="auto"/>
            <w:noWrap/>
            <w:vAlign w:val="center"/>
          </w:tcPr>
          <w:p w14:paraId="37F58C18">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新</w:t>
            </w:r>
            <w:r>
              <w:rPr>
                <w:rFonts w:hint="eastAsia" w:ascii="仿宋_GB2312" w:hAnsi="仿宋_GB2312" w:eastAsia="仿宋_GB2312" w:cs="仿宋_GB2312"/>
                <w:sz w:val="28"/>
                <w:szCs w:val="28"/>
              </w:rPr>
              <w:t>建</w:t>
            </w:r>
          </w:p>
        </w:tc>
        <w:tc>
          <w:tcPr>
            <w:tcW w:w="2842" w:type="dxa"/>
            <w:shd w:val="clear" w:color="auto" w:fill="auto"/>
            <w:noWrap/>
            <w:vAlign w:val="center"/>
          </w:tcPr>
          <w:p w14:paraId="27B6251A">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bidi="ar-SA"/>
              </w:rPr>
            </w:pPr>
          </w:p>
          <w:p w14:paraId="2B1C7E3C">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支持开展非洲猪瘟等重大动物疫病及人畜共患病防控应急处置工作，加强病死动物无害化处理收集体系建设，做好动物疫病的监测和流调工作。项目共计7万元。计划其中4万元用于无害化处理工作，3万元用于畜间布病采样检测工作。</w:t>
            </w:r>
          </w:p>
        </w:tc>
        <w:tc>
          <w:tcPr>
            <w:tcW w:w="2548" w:type="dxa"/>
            <w:shd w:val="clear" w:color="auto" w:fill="auto"/>
            <w:noWrap/>
            <w:vAlign w:val="center"/>
          </w:tcPr>
          <w:p w14:paraId="32EB4C29">
            <w:pPr>
              <w:pStyle w:val="3"/>
              <w:keepNext w:val="0"/>
              <w:keepLines w:val="0"/>
              <w:pageBreakBefore w:val="0"/>
              <w:kinsoku/>
              <w:wordWrap/>
              <w:overflowPunct/>
              <w:topLinePunct w:val="0"/>
              <w:autoSpaceDE/>
              <w:autoSpaceDN/>
              <w:bidi w:val="0"/>
              <w:adjustRightInd/>
              <w:snapToGrid/>
              <w:spacing w:before="0" w:beforeAutospacing="0" w:after="0" w:afterAutospacing="0" w:line="30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SA"/>
              </w:rPr>
              <w:t>病死动物无害化处理体系建设项目财政补助 7万元。</w:t>
            </w:r>
          </w:p>
          <w:p w14:paraId="5FF2D06B">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p>
        </w:tc>
        <w:tc>
          <w:tcPr>
            <w:tcW w:w="795" w:type="dxa"/>
            <w:shd w:val="clear" w:color="auto" w:fill="auto"/>
            <w:noWrap/>
            <w:vAlign w:val="center"/>
          </w:tcPr>
          <w:p w14:paraId="294A3E6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w:t>
            </w:r>
          </w:p>
        </w:tc>
        <w:tc>
          <w:tcPr>
            <w:tcW w:w="570" w:type="dxa"/>
            <w:shd w:val="clear" w:color="auto" w:fill="auto"/>
            <w:noWrap/>
            <w:vAlign w:val="center"/>
          </w:tcPr>
          <w:p w14:paraId="1B614F6C">
            <w:pPr>
              <w:keepNext w:val="0"/>
              <w:keepLines w:val="0"/>
              <w:pageBreakBefore w:val="0"/>
              <w:kinsoku/>
              <w:wordWrap/>
              <w:overflowPunct/>
              <w:topLinePunct w:val="0"/>
              <w:autoSpaceDE/>
              <w:autoSpaceDN/>
              <w:bidi w:val="0"/>
              <w:adjustRightInd/>
              <w:snapToGrid/>
              <w:spacing w:line="300" w:lineRule="exact"/>
              <w:ind w:firstLine="420" w:firstLineChars="0"/>
              <w:jc w:val="center"/>
              <w:textAlignment w:val="auto"/>
              <w:rPr>
                <w:rFonts w:hint="eastAsia" w:ascii="仿宋_GB2312" w:hAnsi="仿宋_GB2312" w:eastAsia="仿宋_GB2312" w:cs="仿宋_GB2312"/>
                <w:kern w:val="2"/>
                <w:sz w:val="28"/>
                <w:szCs w:val="28"/>
                <w:lang w:val="en-US" w:eastAsia="zh-CN" w:bidi="ar-SA"/>
              </w:rPr>
            </w:pPr>
          </w:p>
        </w:tc>
        <w:tc>
          <w:tcPr>
            <w:tcW w:w="555" w:type="dxa"/>
            <w:shd w:val="clear" w:color="auto" w:fill="auto"/>
            <w:noWrap/>
            <w:vAlign w:val="center"/>
          </w:tcPr>
          <w:p w14:paraId="25BCDCA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lang w:val="en-US" w:eastAsia="zh-CN" w:bidi="ar-SA"/>
              </w:rPr>
            </w:pPr>
          </w:p>
        </w:tc>
        <w:tc>
          <w:tcPr>
            <w:tcW w:w="585" w:type="dxa"/>
            <w:shd w:val="clear" w:color="auto" w:fill="auto"/>
            <w:noWrap/>
            <w:vAlign w:val="center"/>
          </w:tcPr>
          <w:p w14:paraId="66DBA033">
            <w:pPr>
              <w:keepNext w:val="0"/>
              <w:keepLines w:val="0"/>
              <w:pageBreakBefore w:val="0"/>
              <w:kinsoku/>
              <w:wordWrap/>
              <w:overflowPunct/>
              <w:topLinePunct w:val="0"/>
              <w:autoSpaceDE/>
              <w:autoSpaceDN/>
              <w:bidi w:val="0"/>
              <w:adjustRightInd/>
              <w:snapToGrid/>
              <w:spacing w:line="300" w:lineRule="exact"/>
              <w:ind w:firstLine="420" w:firstLineChars="0"/>
              <w:jc w:val="center"/>
              <w:textAlignment w:val="auto"/>
              <w:rPr>
                <w:rFonts w:hint="eastAsia" w:ascii="仿宋_GB2312" w:hAnsi="仿宋_GB2312" w:eastAsia="仿宋_GB2312" w:cs="仿宋_GB2312"/>
                <w:kern w:val="2"/>
                <w:sz w:val="28"/>
                <w:szCs w:val="28"/>
                <w:lang w:val="en-US" w:eastAsia="zh-CN" w:bidi="ar-SA"/>
              </w:rPr>
            </w:pPr>
          </w:p>
        </w:tc>
        <w:tc>
          <w:tcPr>
            <w:tcW w:w="690" w:type="dxa"/>
            <w:shd w:val="clear" w:color="auto" w:fill="auto"/>
            <w:noWrap/>
            <w:vAlign w:val="center"/>
          </w:tcPr>
          <w:p w14:paraId="3E04BEC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w:t>
            </w:r>
          </w:p>
        </w:tc>
        <w:tc>
          <w:tcPr>
            <w:tcW w:w="588" w:type="dxa"/>
            <w:shd w:val="clear" w:color="auto" w:fill="auto"/>
            <w:noWrap/>
            <w:vAlign w:val="center"/>
          </w:tcPr>
          <w:p w14:paraId="29BEC65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通过</w:t>
            </w:r>
          </w:p>
        </w:tc>
      </w:tr>
      <w:tr w14:paraId="3B8C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19" w:type="dxa"/>
            <w:shd w:val="clear" w:color="auto" w:fill="auto"/>
            <w:noWrap/>
            <w:vAlign w:val="center"/>
          </w:tcPr>
          <w:p w14:paraId="4B186E7C">
            <w:pPr>
              <w:spacing w:line="28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230" w:type="dxa"/>
            <w:shd w:val="clear" w:color="auto" w:fill="auto"/>
            <w:noWrap/>
            <w:vAlign w:val="center"/>
          </w:tcPr>
          <w:p w14:paraId="14CB933F">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val="en-US" w:eastAsia="zh-CN"/>
              </w:rPr>
              <w:t>非洲猪瘟等重大动物疫病及人畜共患病防控应急工作项目</w:t>
            </w:r>
          </w:p>
        </w:tc>
        <w:tc>
          <w:tcPr>
            <w:tcW w:w="1305" w:type="dxa"/>
            <w:shd w:val="clear" w:color="auto" w:fill="auto"/>
            <w:noWrap/>
            <w:vAlign w:val="center"/>
          </w:tcPr>
          <w:p w14:paraId="0C3C29B3">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灞桥区动物疾病预防控制中心</w:t>
            </w:r>
            <w:r>
              <w:rPr>
                <w:rFonts w:hint="eastAsia" w:ascii="仿宋_GB2312" w:hAnsi="仿宋_GB2312" w:eastAsia="仿宋_GB2312" w:cs="仿宋_GB2312"/>
                <w:sz w:val="28"/>
                <w:szCs w:val="28"/>
                <w:lang w:val="en-US" w:eastAsia="zh-CN"/>
              </w:rPr>
              <w:t xml:space="preserve">  </w:t>
            </w:r>
          </w:p>
          <w:p w14:paraId="002513D7">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刘新忠</w:t>
            </w:r>
          </w:p>
        </w:tc>
        <w:tc>
          <w:tcPr>
            <w:tcW w:w="810" w:type="dxa"/>
            <w:shd w:val="clear" w:color="auto" w:fill="auto"/>
            <w:noWrap/>
            <w:vAlign w:val="center"/>
          </w:tcPr>
          <w:p w14:paraId="14427485">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全区范围内</w:t>
            </w:r>
          </w:p>
        </w:tc>
        <w:tc>
          <w:tcPr>
            <w:tcW w:w="660" w:type="dxa"/>
            <w:shd w:val="clear" w:color="auto" w:fill="auto"/>
            <w:noWrap/>
            <w:vAlign w:val="center"/>
          </w:tcPr>
          <w:p w14:paraId="096714C4">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一年</w:t>
            </w:r>
          </w:p>
        </w:tc>
        <w:tc>
          <w:tcPr>
            <w:tcW w:w="550" w:type="dxa"/>
            <w:shd w:val="clear" w:color="auto" w:fill="auto"/>
            <w:noWrap/>
            <w:vAlign w:val="center"/>
          </w:tcPr>
          <w:p w14:paraId="6BA90477">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新</w:t>
            </w:r>
            <w:r>
              <w:rPr>
                <w:rFonts w:hint="eastAsia" w:ascii="仿宋_GB2312" w:hAnsi="仿宋_GB2312" w:eastAsia="仿宋_GB2312" w:cs="仿宋_GB2312"/>
                <w:sz w:val="28"/>
                <w:szCs w:val="28"/>
              </w:rPr>
              <w:t>建</w:t>
            </w:r>
          </w:p>
        </w:tc>
        <w:tc>
          <w:tcPr>
            <w:tcW w:w="2842" w:type="dxa"/>
            <w:shd w:val="clear" w:color="auto" w:fill="auto"/>
            <w:noWrap/>
            <w:vAlign w:val="center"/>
          </w:tcPr>
          <w:p w14:paraId="0B9C72EC">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年第一批市级财政农业农村专项重大动物疫病防控及应急储备物资项目涉及我区共计</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万元，根据我区动物疫情防控工作实际，采购一次性手套、</w:t>
            </w:r>
            <w:r>
              <w:rPr>
                <w:rFonts w:hint="eastAsia" w:ascii="仿宋_GB2312" w:hAnsi="仿宋_GB2312" w:eastAsia="仿宋_GB2312" w:cs="仿宋_GB2312"/>
                <w:sz w:val="28"/>
                <w:szCs w:val="28"/>
                <w:lang w:eastAsia="zh-CN"/>
              </w:rPr>
              <w:t>一次性注射器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防护服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消毒药、</w:t>
            </w:r>
            <w:r>
              <w:rPr>
                <w:rFonts w:hint="eastAsia" w:ascii="仿宋_GB2312" w:hAnsi="仿宋_GB2312" w:eastAsia="仿宋_GB2312" w:cs="仿宋_GB2312"/>
                <w:sz w:val="28"/>
                <w:szCs w:val="28"/>
                <w:lang w:eastAsia="zh-CN"/>
              </w:rPr>
              <w:t>一次性鞋套</w:t>
            </w:r>
            <w:r>
              <w:rPr>
                <w:rFonts w:hint="eastAsia" w:ascii="仿宋_GB2312" w:hAnsi="仿宋_GB2312" w:eastAsia="仿宋_GB2312" w:cs="仿宋_GB2312"/>
                <w:sz w:val="28"/>
                <w:szCs w:val="28"/>
              </w:rPr>
              <w:t>等防疫物资</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万元。</w:t>
            </w:r>
          </w:p>
        </w:tc>
        <w:tc>
          <w:tcPr>
            <w:tcW w:w="2548" w:type="dxa"/>
            <w:shd w:val="clear" w:color="auto" w:fill="auto"/>
            <w:noWrap/>
            <w:vAlign w:val="center"/>
          </w:tcPr>
          <w:p w14:paraId="605FB29A">
            <w:pPr>
              <w:pStyle w:val="3"/>
              <w:keepNext w:val="0"/>
              <w:keepLines w:val="0"/>
              <w:pageBreakBefore w:val="0"/>
              <w:kinsoku/>
              <w:wordWrap/>
              <w:overflowPunct/>
              <w:topLinePunct w:val="0"/>
              <w:autoSpaceDE/>
              <w:autoSpaceDN/>
              <w:bidi w:val="0"/>
              <w:adjustRightInd/>
              <w:snapToGrid/>
              <w:spacing w:before="0" w:beforeAutospacing="0" w:after="0" w:afterAutospacing="0" w:line="300" w:lineRule="exact"/>
              <w:ind w:left="839" w:leftChars="266" w:hanging="280" w:hangingChars="1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bidi="ar-SA"/>
              </w:rPr>
              <w:t>市级财政补助 5万元</w:t>
            </w:r>
          </w:p>
          <w:p w14:paraId="6C752711">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p>
        </w:tc>
        <w:tc>
          <w:tcPr>
            <w:tcW w:w="795" w:type="dxa"/>
            <w:shd w:val="clear" w:color="auto" w:fill="auto"/>
            <w:noWrap/>
            <w:vAlign w:val="center"/>
          </w:tcPr>
          <w:p w14:paraId="3E100A2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5</w:t>
            </w:r>
          </w:p>
        </w:tc>
        <w:tc>
          <w:tcPr>
            <w:tcW w:w="570" w:type="dxa"/>
            <w:shd w:val="clear" w:color="auto" w:fill="auto"/>
            <w:noWrap/>
            <w:vAlign w:val="center"/>
          </w:tcPr>
          <w:p w14:paraId="154D5E18">
            <w:pPr>
              <w:keepNext w:val="0"/>
              <w:keepLines w:val="0"/>
              <w:pageBreakBefore w:val="0"/>
              <w:kinsoku/>
              <w:wordWrap/>
              <w:overflowPunct/>
              <w:topLinePunct w:val="0"/>
              <w:autoSpaceDE/>
              <w:autoSpaceDN/>
              <w:bidi w:val="0"/>
              <w:adjustRightInd/>
              <w:snapToGrid/>
              <w:spacing w:line="300" w:lineRule="exact"/>
              <w:ind w:firstLine="420" w:firstLineChars="0"/>
              <w:jc w:val="center"/>
              <w:textAlignment w:val="auto"/>
              <w:rPr>
                <w:rFonts w:hint="eastAsia" w:ascii="仿宋_GB2312" w:hAnsi="仿宋_GB2312" w:eastAsia="仿宋_GB2312" w:cs="仿宋_GB2312"/>
                <w:kern w:val="2"/>
                <w:sz w:val="28"/>
                <w:szCs w:val="28"/>
                <w:lang w:val="en-US" w:eastAsia="zh-CN" w:bidi="ar-SA"/>
              </w:rPr>
            </w:pPr>
          </w:p>
        </w:tc>
        <w:tc>
          <w:tcPr>
            <w:tcW w:w="555" w:type="dxa"/>
            <w:shd w:val="clear" w:color="auto" w:fill="auto"/>
            <w:noWrap/>
            <w:vAlign w:val="center"/>
          </w:tcPr>
          <w:p w14:paraId="516497E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lang w:val="en-US" w:eastAsia="zh-CN" w:bidi="ar-SA"/>
              </w:rPr>
            </w:pPr>
          </w:p>
        </w:tc>
        <w:tc>
          <w:tcPr>
            <w:tcW w:w="585" w:type="dxa"/>
            <w:shd w:val="clear" w:color="auto" w:fill="auto"/>
            <w:noWrap/>
            <w:vAlign w:val="center"/>
          </w:tcPr>
          <w:p w14:paraId="01EEA6D8">
            <w:pPr>
              <w:keepNext w:val="0"/>
              <w:keepLines w:val="0"/>
              <w:pageBreakBefore w:val="0"/>
              <w:kinsoku/>
              <w:wordWrap/>
              <w:overflowPunct/>
              <w:topLinePunct w:val="0"/>
              <w:autoSpaceDE/>
              <w:autoSpaceDN/>
              <w:bidi w:val="0"/>
              <w:adjustRightInd/>
              <w:snapToGrid/>
              <w:spacing w:line="300" w:lineRule="exact"/>
              <w:ind w:firstLine="420" w:firstLineChars="0"/>
              <w:jc w:val="center"/>
              <w:textAlignment w:val="auto"/>
              <w:rPr>
                <w:rFonts w:hint="eastAsia" w:ascii="仿宋_GB2312" w:hAnsi="仿宋_GB2312" w:eastAsia="仿宋_GB2312" w:cs="仿宋_GB2312"/>
                <w:kern w:val="2"/>
                <w:sz w:val="28"/>
                <w:szCs w:val="28"/>
                <w:lang w:val="en-US" w:eastAsia="zh-CN" w:bidi="ar-SA"/>
              </w:rPr>
            </w:pPr>
          </w:p>
        </w:tc>
        <w:tc>
          <w:tcPr>
            <w:tcW w:w="690" w:type="dxa"/>
            <w:shd w:val="clear" w:color="auto" w:fill="auto"/>
            <w:noWrap/>
            <w:vAlign w:val="center"/>
          </w:tcPr>
          <w:p w14:paraId="010AD8F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5</w:t>
            </w:r>
          </w:p>
        </w:tc>
        <w:tc>
          <w:tcPr>
            <w:tcW w:w="588" w:type="dxa"/>
            <w:shd w:val="clear" w:color="auto" w:fill="auto"/>
            <w:noWrap/>
            <w:vAlign w:val="center"/>
          </w:tcPr>
          <w:p w14:paraId="75AF7C1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通过</w:t>
            </w:r>
          </w:p>
        </w:tc>
      </w:tr>
      <w:tr w14:paraId="67F7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19" w:type="dxa"/>
            <w:shd w:val="clear" w:color="auto" w:fill="auto"/>
            <w:noWrap/>
            <w:vAlign w:val="center"/>
          </w:tcPr>
          <w:p w14:paraId="6422441F">
            <w:pPr>
              <w:spacing w:line="28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30" w:type="dxa"/>
            <w:shd w:val="clear" w:color="auto" w:fill="auto"/>
            <w:noWrap/>
            <w:vAlign w:val="center"/>
          </w:tcPr>
          <w:p w14:paraId="2DF50239">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2025年小型农田水利项目灌溉井维修</w:t>
            </w:r>
          </w:p>
        </w:tc>
        <w:tc>
          <w:tcPr>
            <w:tcW w:w="1305" w:type="dxa"/>
            <w:shd w:val="clear" w:color="auto" w:fill="auto"/>
            <w:noWrap/>
            <w:vAlign w:val="center"/>
          </w:tcPr>
          <w:p w14:paraId="0E58FAE9">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执法监督科</w:t>
            </w:r>
          </w:p>
          <w:p w14:paraId="4A47BDA4">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刘军 </w:t>
            </w:r>
          </w:p>
        </w:tc>
        <w:tc>
          <w:tcPr>
            <w:tcW w:w="810" w:type="dxa"/>
            <w:shd w:val="clear" w:color="auto" w:fill="auto"/>
            <w:noWrap/>
            <w:vAlign w:val="center"/>
          </w:tcPr>
          <w:p w14:paraId="26E7CFF8">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狄寨街道</w:t>
            </w:r>
          </w:p>
        </w:tc>
        <w:tc>
          <w:tcPr>
            <w:tcW w:w="660" w:type="dxa"/>
            <w:shd w:val="clear" w:color="auto" w:fill="auto"/>
            <w:noWrap/>
            <w:vAlign w:val="center"/>
          </w:tcPr>
          <w:p w14:paraId="1F41532D">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12个月</w:t>
            </w:r>
          </w:p>
        </w:tc>
        <w:tc>
          <w:tcPr>
            <w:tcW w:w="550" w:type="dxa"/>
            <w:shd w:val="clear" w:color="auto" w:fill="auto"/>
            <w:noWrap/>
            <w:vAlign w:val="center"/>
          </w:tcPr>
          <w:p w14:paraId="7CC45001">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新建</w:t>
            </w:r>
          </w:p>
        </w:tc>
        <w:tc>
          <w:tcPr>
            <w:tcW w:w="2842" w:type="dxa"/>
            <w:shd w:val="clear" w:color="auto" w:fill="auto"/>
            <w:noWrap/>
            <w:vAlign w:val="center"/>
          </w:tcPr>
          <w:p w14:paraId="0C8BC279">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本工程解决狄寨街道南枝村、新狄村、南大康村、车村、寨子村、 江村、杜陵村7个行政村，共计13眼灌溉井及灌溉井所辐射周边的农业灌溉问题。通过本次工程的实施，提升灞桥区狄寨街道辖区农业灌溉保障能力。</w:t>
            </w:r>
          </w:p>
        </w:tc>
        <w:tc>
          <w:tcPr>
            <w:tcW w:w="2548" w:type="dxa"/>
            <w:shd w:val="clear" w:color="auto" w:fill="auto"/>
            <w:noWrap/>
            <w:vAlign w:val="center"/>
          </w:tcPr>
          <w:p w14:paraId="29071B39">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狄寨街道13眼井维修，市级扶持资金63万元。</w:t>
            </w:r>
          </w:p>
        </w:tc>
        <w:tc>
          <w:tcPr>
            <w:tcW w:w="795" w:type="dxa"/>
            <w:shd w:val="clear" w:color="auto" w:fill="auto"/>
            <w:noWrap/>
            <w:vAlign w:val="center"/>
          </w:tcPr>
          <w:p w14:paraId="4D09498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63</w:t>
            </w:r>
          </w:p>
        </w:tc>
        <w:tc>
          <w:tcPr>
            <w:tcW w:w="570" w:type="dxa"/>
            <w:shd w:val="clear" w:color="auto" w:fill="auto"/>
            <w:noWrap/>
            <w:vAlign w:val="center"/>
          </w:tcPr>
          <w:p w14:paraId="36A5184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szCs w:val="28"/>
                <w:lang w:val="en-US" w:eastAsia="zh-CN"/>
              </w:rPr>
            </w:pPr>
          </w:p>
        </w:tc>
        <w:tc>
          <w:tcPr>
            <w:tcW w:w="555" w:type="dxa"/>
            <w:shd w:val="clear" w:color="auto" w:fill="auto"/>
            <w:noWrap/>
            <w:vAlign w:val="center"/>
          </w:tcPr>
          <w:p w14:paraId="6D5EED0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szCs w:val="28"/>
                <w:lang w:val="en-US" w:eastAsia="zh-CN"/>
              </w:rPr>
            </w:pPr>
          </w:p>
        </w:tc>
        <w:tc>
          <w:tcPr>
            <w:tcW w:w="585" w:type="dxa"/>
            <w:shd w:val="clear" w:color="auto" w:fill="auto"/>
            <w:noWrap/>
            <w:vAlign w:val="center"/>
          </w:tcPr>
          <w:p w14:paraId="2EDAE6E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szCs w:val="28"/>
                <w:lang w:val="en-US" w:eastAsia="zh-CN"/>
              </w:rPr>
            </w:pPr>
          </w:p>
        </w:tc>
        <w:tc>
          <w:tcPr>
            <w:tcW w:w="690" w:type="dxa"/>
            <w:shd w:val="clear" w:color="auto" w:fill="auto"/>
            <w:noWrap/>
            <w:vAlign w:val="center"/>
          </w:tcPr>
          <w:p w14:paraId="74F8E40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63</w:t>
            </w:r>
          </w:p>
        </w:tc>
        <w:tc>
          <w:tcPr>
            <w:tcW w:w="588" w:type="dxa"/>
            <w:shd w:val="clear" w:color="auto" w:fill="auto"/>
            <w:noWrap/>
            <w:vAlign w:val="center"/>
          </w:tcPr>
          <w:p w14:paraId="0385387D">
            <w:pPr>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8"/>
                <w:szCs w:val="28"/>
                <w:lang w:val="en-US" w:eastAsia="zh-CN" w:bidi="ar-SA"/>
              </w:rPr>
              <w:t>未通过</w:t>
            </w:r>
          </w:p>
        </w:tc>
      </w:tr>
      <w:tr w14:paraId="0BD8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4347" w:type="dxa"/>
            <w:gridSpan w:val="14"/>
            <w:shd w:val="clear" w:color="auto" w:fill="auto"/>
            <w:noWrap/>
            <w:vAlign w:val="center"/>
          </w:tcPr>
          <w:p w14:paraId="7B5B17B9">
            <w:pPr>
              <w:spacing w:line="28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1"/>
                <w:szCs w:val="21"/>
              </w:rPr>
              <w:t>类别：</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kern w:val="0"/>
                <w:sz w:val="21"/>
                <w:szCs w:val="21"/>
              </w:rPr>
              <w:t>约束性任务清单补助类</w:t>
            </w:r>
            <w:r>
              <w:rPr>
                <w:rFonts w:hint="eastAsia" w:ascii="宋体" w:hAnsi="宋体" w:cs="宋体"/>
                <w:sz w:val="18"/>
                <w:szCs w:val="18"/>
                <w:lang w:val="en-US" w:eastAsia="zh-CN"/>
              </w:rPr>
              <w:t xml:space="preserve">               </w:t>
            </w:r>
            <w:r>
              <w:rPr>
                <w:rFonts w:hint="eastAsia" w:ascii="方正小标宋简体" w:hAnsi="方正小标宋简体" w:eastAsia="方正小标宋简体" w:cs="方正小标宋简体"/>
                <w:kern w:val="0"/>
                <w:sz w:val="24"/>
                <w:szCs w:val="24"/>
              </w:rPr>
              <w:t>202</w:t>
            </w:r>
            <w:r>
              <w:rPr>
                <w:rFonts w:hint="eastAsia" w:ascii="方正小标宋简体" w:hAnsi="方正小标宋简体" w:eastAsia="方正小标宋简体" w:cs="方正小标宋简体"/>
                <w:kern w:val="0"/>
                <w:sz w:val="24"/>
                <w:szCs w:val="24"/>
                <w:lang w:val="en-US" w:eastAsia="zh-CN"/>
              </w:rPr>
              <w:t>4</w:t>
            </w:r>
            <w:r>
              <w:rPr>
                <w:rFonts w:hint="eastAsia" w:ascii="方正小标宋简体" w:hAnsi="方正小标宋简体" w:eastAsia="方正小标宋简体" w:cs="方正小标宋简体"/>
                <w:kern w:val="0"/>
                <w:sz w:val="24"/>
                <w:szCs w:val="24"/>
              </w:rPr>
              <w:t>年第</w:t>
            </w:r>
            <w:r>
              <w:rPr>
                <w:rFonts w:hint="eastAsia" w:ascii="方正小标宋简体" w:hAnsi="方正小标宋简体" w:eastAsia="方正小标宋简体" w:cs="方正小标宋简体"/>
                <w:kern w:val="0"/>
                <w:sz w:val="24"/>
                <w:szCs w:val="24"/>
                <w:lang w:val="en-US" w:eastAsia="zh-CN"/>
              </w:rPr>
              <w:t>一</w:t>
            </w:r>
            <w:r>
              <w:rPr>
                <w:rFonts w:hint="eastAsia" w:ascii="方正小标宋简体" w:hAnsi="方正小标宋简体" w:eastAsia="方正小标宋简体" w:cs="方正小标宋简体"/>
                <w:kern w:val="0"/>
                <w:sz w:val="24"/>
                <w:szCs w:val="24"/>
              </w:rPr>
              <w:t>批</w:t>
            </w:r>
            <w:r>
              <w:rPr>
                <w:rFonts w:hint="eastAsia" w:ascii="方正小标宋简体" w:hAnsi="方正小标宋简体" w:eastAsia="方正小标宋简体" w:cs="方正小标宋简体"/>
                <w:kern w:val="0"/>
                <w:sz w:val="24"/>
                <w:szCs w:val="24"/>
                <w:lang w:val="en-US" w:eastAsia="zh-CN"/>
              </w:rPr>
              <w:t>市</w:t>
            </w:r>
            <w:r>
              <w:rPr>
                <w:rFonts w:hint="eastAsia" w:ascii="方正小标宋简体" w:hAnsi="方正小标宋简体" w:eastAsia="方正小标宋简体" w:cs="方正小标宋简体"/>
                <w:kern w:val="0"/>
                <w:sz w:val="24"/>
                <w:szCs w:val="24"/>
              </w:rPr>
              <w:t>级</w:t>
            </w:r>
            <w:r>
              <w:rPr>
                <w:rFonts w:hint="eastAsia" w:ascii="方正小标宋简体" w:hAnsi="方正小标宋简体" w:eastAsia="方正小标宋简体" w:cs="方正小标宋简体"/>
                <w:kern w:val="0"/>
                <w:sz w:val="24"/>
                <w:szCs w:val="24"/>
                <w:lang w:val="en-US" w:eastAsia="zh-CN"/>
              </w:rPr>
              <w:t>财政</w:t>
            </w:r>
            <w:r>
              <w:rPr>
                <w:rFonts w:hint="eastAsia" w:ascii="方正小标宋简体" w:hAnsi="方正小标宋简体" w:eastAsia="方正小标宋简体" w:cs="方正小标宋简体"/>
                <w:kern w:val="0"/>
                <w:sz w:val="24"/>
                <w:szCs w:val="24"/>
              </w:rPr>
              <w:t>农业</w:t>
            </w:r>
            <w:r>
              <w:rPr>
                <w:rFonts w:hint="eastAsia" w:ascii="方正小标宋简体" w:hAnsi="方正小标宋简体" w:eastAsia="方正小标宋简体" w:cs="方正小标宋简体"/>
                <w:kern w:val="0"/>
                <w:sz w:val="24"/>
                <w:szCs w:val="24"/>
                <w:lang w:val="en-US" w:eastAsia="zh-CN"/>
              </w:rPr>
              <w:t>农村发展</w:t>
            </w:r>
            <w:r>
              <w:rPr>
                <w:rFonts w:hint="eastAsia" w:ascii="方正小标宋简体" w:hAnsi="方正小标宋简体" w:eastAsia="方正小标宋简体" w:cs="方正小标宋简体"/>
                <w:kern w:val="0"/>
                <w:sz w:val="24"/>
                <w:szCs w:val="24"/>
              </w:rPr>
              <w:t>专项资金</w:t>
            </w:r>
            <w:r>
              <w:rPr>
                <w:rFonts w:hint="eastAsia" w:ascii="方正小标宋简体" w:hAnsi="方正小标宋简体" w:eastAsia="方正小标宋简体" w:cs="方正小标宋简体"/>
                <w:kern w:val="0"/>
                <w:sz w:val="24"/>
                <w:szCs w:val="24"/>
                <w:lang w:val="en-US" w:eastAsia="zh-CN"/>
              </w:rPr>
              <w:t>项目</w:t>
            </w:r>
            <w:r>
              <w:rPr>
                <w:rFonts w:hint="eastAsia" w:ascii="方正小标宋简体" w:hAnsi="方正小标宋简体" w:eastAsia="方正小标宋简体" w:cs="方正小标宋简体"/>
                <w:sz w:val="24"/>
                <w:szCs w:val="24"/>
              </w:rPr>
              <w:t>（市农发 ﹝202</w:t>
            </w:r>
            <w:r>
              <w:rPr>
                <w:rFonts w:hint="eastAsia" w:ascii="方正小标宋简体" w:hAnsi="方正小标宋简体" w:eastAsia="方正小标宋简体" w:cs="方正小标宋简体"/>
                <w:sz w:val="24"/>
                <w:szCs w:val="24"/>
                <w:lang w:val="en-US" w:eastAsia="zh-CN"/>
              </w:rPr>
              <w:t>4</w:t>
            </w:r>
            <w:r>
              <w:rPr>
                <w:rFonts w:hint="eastAsia" w:ascii="方正小标宋简体" w:hAnsi="方正小标宋简体" w:eastAsia="方正小标宋简体" w:cs="方正小标宋简体"/>
                <w:sz w:val="24"/>
                <w:szCs w:val="24"/>
              </w:rPr>
              <w:t>﹞</w:t>
            </w:r>
            <w:r>
              <w:rPr>
                <w:rFonts w:hint="eastAsia" w:ascii="方正小标宋简体" w:hAnsi="方正小标宋简体" w:eastAsia="方正小标宋简体" w:cs="方正小标宋简体"/>
                <w:sz w:val="24"/>
                <w:szCs w:val="24"/>
                <w:lang w:val="en-US" w:eastAsia="zh-CN"/>
              </w:rPr>
              <w:t>125</w:t>
            </w:r>
            <w:r>
              <w:rPr>
                <w:rFonts w:hint="eastAsia" w:ascii="方正小标宋简体" w:hAnsi="方正小标宋简体" w:eastAsia="方正小标宋简体" w:cs="方正小标宋简体"/>
                <w:sz w:val="24"/>
                <w:szCs w:val="24"/>
              </w:rPr>
              <w:t>号）</w:t>
            </w:r>
          </w:p>
        </w:tc>
      </w:tr>
      <w:tr w14:paraId="7E61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7" w:hRule="atLeast"/>
          <w:jc w:val="center"/>
        </w:trPr>
        <w:tc>
          <w:tcPr>
            <w:tcW w:w="619" w:type="dxa"/>
            <w:noWrap/>
            <w:vAlign w:val="center"/>
          </w:tcPr>
          <w:p w14:paraId="3F7F1344">
            <w:pPr>
              <w:spacing w:line="28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230" w:type="dxa"/>
            <w:shd w:val="clear" w:color="auto" w:fill="auto"/>
            <w:noWrap/>
            <w:vAlign w:val="top"/>
          </w:tcPr>
          <w:p w14:paraId="7C213E5A">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p>
          <w:p w14:paraId="650D4470">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p>
          <w:p w14:paraId="4E68DD10">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2024年第一批市级农业农村发展专项资金水产品质量安全监管和水生野生动物保护项目</w:t>
            </w:r>
          </w:p>
        </w:tc>
        <w:tc>
          <w:tcPr>
            <w:tcW w:w="1305" w:type="dxa"/>
            <w:shd w:val="clear" w:color="auto" w:fill="auto"/>
            <w:noWrap/>
            <w:vAlign w:val="center"/>
          </w:tcPr>
          <w:p w14:paraId="2C403C9C">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西安市灞桥区水产工作站  </w:t>
            </w:r>
          </w:p>
          <w:p w14:paraId="198339AE">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陈显兵</w:t>
            </w:r>
          </w:p>
        </w:tc>
        <w:tc>
          <w:tcPr>
            <w:tcW w:w="810" w:type="dxa"/>
            <w:shd w:val="clear" w:color="auto" w:fill="auto"/>
            <w:noWrap/>
            <w:vAlign w:val="center"/>
          </w:tcPr>
          <w:p w14:paraId="37A7A901">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灞桥区12家渔场和浐灞河灞桥段水域</w:t>
            </w:r>
          </w:p>
        </w:tc>
        <w:tc>
          <w:tcPr>
            <w:tcW w:w="660" w:type="dxa"/>
            <w:shd w:val="clear" w:color="auto" w:fill="auto"/>
            <w:noWrap/>
            <w:vAlign w:val="center"/>
          </w:tcPr>
          <w:p w14:paraId="336D3398">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2025年11月至2026年11月</w:t>
            </w:r>
          </w:p>
        </w:tc>
        <w:tc>
          <w:tcPr>
            <w:tcW w:w="550" w:type="dxa"/>
            <w:shd w:val="clear" w:color="auto" w:fill="auto"/>
            <w:noWrap/>
            <w:vAlign w:val="center"/>
          </w:tcPr>
          <w:p w14:paraId="17E54C2C">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新建</w:t>
            </w:r>
          </w:p>
        </w:tc>
        <w:tc>
          <w:tcPr>
            <w:tcW w:w="2842" w:type="dxa"/>
            <w:shd w:val="clear" w:color="auto" w:fill="auto"/>
            <w:noWrap/>
            <w:vAlign w:val="center"/>
          </w:tcPr>
          <w:p w14:paraId="3C2A14D4">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对全区12家渔场进行水产品质量安全监管工作，采购发放一批定性检测试剂、水质检测试剂、水质改良剂；在浐灞河流域增殖放流10厘米左右鲢鱼鱼苗15万尾，改善提升水生野生动物生态环境；组织开展水产品质量安全及水生野生动物保护宣传工作。</w:t>
            </w:r>
          </w:p>
        </w:tc>
        <w:tc>
          <w:tcPr>
            <w:tcW w:w="2548" w:type="dxa"/>
            <w:shd w:val="clear" w:color="auto" w:fill="auto"/>
            <w:noWrap/>
            <w:vAlign w:val="center"/>
          </w:tcPr>
          <w:p w14:paraId="25CF8FC5">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项目总投资14.52万元，全部为财政资金。1、采购定性检测试剂、水质检测试剂、水质改良剂共计5万元；2、增殖放流10厘米鲢鱼鱼苗15万尾及放流产生的相关费用等8万元；3、水生野生动物保护和水产品质量安全宣传费用1.52万元。</w:t>
            </w:r>
          </w:p>
        </w:tc>
        <w:tc>
          <w:tcPr>
            <w:tcW w:w="795" w:type="dxa"/>
            <w:shd w:val="clear" w:color="auto" w:fill="auto"/>
            <w:noWrap/>
            <w:vAlign w:val="center"/>
          </w:tcPr>
          <w:p w14:paraId="050C9EB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14.52</w:t>
            </w:r>
          </w:p>
        </w:tc>
        <w:tc>
          <w:tcPr>
            <w:tcW w:w="570" w:type="dxa"/>
            <w:shd w:val="clear" w:color="auto" w:fill="auto"/>
            <w:noWrap/>
            <w:vAlign w:val="center"/>
          </w:tcPr>
          <w:p w14:paraId="0822C25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szCs w:val="28"/>
                <w:lang w:val="en-US" w:eastAsia="zh-CN"/>
              </w:rPr>
            </w:pPr>
          </w:p>
        </w:tc>
        <w:tc>
          <w:tcPr>
            <w:tcW w:w="555" w:type="dxa"/>
            <w:shd w:val="clear" w:color="auto" w:fill="auto"/>
            <w:noWrap/>
            <w:vAlign w:val="center"/>
          </w:tcPr>
          <w:p w14:paraId="05CA47B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szCs w:val="28"/>
                <w:lang w:val="en-US" w:eastAsia="zh-CN"/>
              </w:rPr>
            </w:pPr>
          </w:p>
        </w:tc>
        <w:tc>
          <w:tcPr>
            <w:tcW w:w="585" w:type="dxa"/>
            <w:shd w:val="clear" w:color="auto" w:fill="auto"/>
            <w:noWrap/>
            <w:vAlign w:val="center"/>
          </w:tcPr>
          <w:p w14:paraId="4E18952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szCs w:val="28"/>
                <w:lang w:val="en-US" w:eastAsia="zh-CN"/>
              </w:rPr>
            </w:pPr>
          </w:p>
        </w:tc>
        <w:tc>
          <w:tcPr>
            <w:tcW w:w="690" w:type="dxa"/>
            <w:shd w:val="clear" w:color="auto" w:fill="auto"/>
            <w:noWrap/>
            <w:vAlign w:val="center"/>
          </w:tcPr>
          <w:p w14:paraId="13C2641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14.52</w:t>
            </w:r>
          </w:p>
        </w:tc>
        <w:tc>
          <w:tcPr>
            <w:tcW w:w="588" w:type="dxa"/>
            <w:shd w:val="clear" w:color="auto" w:fill="auto"/>
            <w:noWrap/>
            <w:vAlign w:val="center"/>
          </w:tcPr>
          <w:p w14:paraId="7C89E01F">
            <w:pPr>
              <w:spacing w:line="28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2"/>
                <w:sz w:val="28"/>
                <w:szCs w:val="28"/>
                <w:lang w:val="en-US" w:eastAsia="zh-CN" w:bidi="ar-SA"/>
              </w:rPr>
              <w:t>通过</w:t>
            </w:r>
          </w:p>
        </w:tc>
      </w:tr>
    </w:tbl>
    <w:p w14:paraId="4C786D1E"/>
    <w:p w14:paraId="7018BE1C"/>
    <w:sectPr>
      <w:pgSz w:w="16838" w:h="11906" w:orient="landscape"/>
      <w:pgMar w:top="1587" w:right="1134" w:bottom="147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33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2025-12-09T01:39:34Z</dcterms:created>
  <dc:creator>Administrator</dc:creator>
  <cp:lastModifiedBy>蓝雪依林</cp:lastModifiedBy>
  <dcterms:modified xsi:type="dcterms:W3CDTF">2025-12-09T01:42:18Z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eyJoZGlkIjoiZmE3OGVmNTgxZmI4ODk5N2MwNWIyMDVlNGMxNThhZDUiLCJ1c2VySWQiOiI0NTIwMjM0NDIifQ==</vt:lpwstr>
  </property>
  <property fmtid="{D5CDD505-2E9C-101B-9397-08002B2CF9AE}" pid="4" name="ICV">
    <vt:lpwstr>5758DC70DFB14526841C96FB75BF3992_12</vt:lpwstr>
  </property>
</Properties>
</file>