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20FE5">
      <w:pPr>
        <w:tabs>
          <w:tab w:val="left" w:pos="7088"/>
          <w:tab w:val="left" w:pos="7230"/>
          <w:tab w:val="left" w:pos="7513"/>
          <w:tab w:val="left" w:pos="7797"/>
          <w:tab w:val="left" w:pos="8364"/>
        </w:tabs>
        <w:ind w:right="57" w:rightChars="27"/>
        <w:jc w:val="center"/>
        <w:rPr>
          <w:rFonts w:hint="eastAsia" w:ascii="方正小标宋简体" w:hAnsi="方正黑体简体" w:eastAsia="方正小标宋简体" w:cs="方正黑体简体"/>
          <w:sz w:val="44"/>
          <w:szCs w:val="44"/>
          <w:shd w:val="clear" w:color="auto" w:fill="FFFFFF"/>
          <w:lang w:val="en-US" w:eastAsia="zh-CN"/>
        </w:rPr>
      </w:pPr>
    </w:p>
    <w:p w14:paraId="4AAC06F6">
      <w:pPr>
        <w:tabs>
          <w:tab w:val="left" w:pos="7088"/>
          <w:tab w:val="left" w:pos="7230"/>
          <w:tab w:val="left" w:pos="7513"/>
          <w:tab w:val="left" w:pos="7797"/>
          <w:tab w:val="left" w:pos="8364"/>
        </w:tabs>
        <w:ind w:right="57" w:rightChars="27"/>
        <w:jc w:val="center"/>
        <w:rPr>
          <w:rFonts w:hint="eastAsia" w:ascii="方正小标宋简体" w:hAnsi="方正黑体简体" w:eastAsia="方正小标宋简体" w:cs="方正黑体简体"/>
          <w:sz w:val="44"/>
          <w:szCs w:val="44"/>
          <w:shd w:val="clear" w:color="auto" w:fill="FFFFFF"/>
        </w:rPr>
      </w:pPr>
      <w:bookmarkStart w:id="0" w:name="_GoBack"/>
      <w:bookmarkEnd w:id="0"/>
      <w:r>
        <w:rPr>
          <w:rFonts w:hint="eastAsia" w:ascii="方正小标宋简体" w:hAnsi="方正黑体简体" w:eastAsia="方正小标宋简体" w:cs="方正黑体简体"/>
          <w:sz w:val="44"/>
          <w:szCs w:val="44"/>
          <w:shd w:val="clear" w:color="auto" w:fill="FFFFFF"/>
          <w:lang w:val="en-US" w:eastAsia="zh-CN"/>
        </w:rPr>
        <w:t>西安市灞桥区审计局</w:t>
      </w:r>
      <w:r>
        <w:rPr>
          <w:rFonts w:hint="eastAsia" w:ascii="方正小标宋简体" w:hAnsi="方正黑体简体" w:eastAsia="方正小标宋简体" w:cs="方正黑体简体"/>
          <w:sz w:val="44"/>
          <w:szCs w:val="44"/>
          <w:shd w:val="clear" w:color="auto" w:fill="FFFFFF"/>
        </w:rPr>
        <w:t>行政执法事项清单</w:t>
      </w:r>
    </w:p>
    <w:tbl>
      <w:tblPr>
        <w:tblStyle w:val="2"/>
        <w:tblW w:w="14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05"/>
        <w:gridCol w:w="3100"/>
        <w:gridCol w:w="5678"/>
        <w:gridCol w:w="1811"/>
        <w:gridCol w:w="1345"/>
      </w:tblGrid>
      <w:tr w14:paraId="5758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2656D2A0">
            <w:pPr>
              <w:spacing w:line="440" w:lineRule="exact"/>
              <w:jc w:val="center"/>
              <w:rPr>
                <w:rFonts w:hint="eastAsia" w:ascii="黑体" w:hAnsi="黑体" w:eastAsia="黑体" w:cs="方正黑体简体"/>
                <w:sz w:val="28"/>
                <w:szCs w:val="28"/>
              </w:rPr>
            </w:pPr>
            <w:r>
              <w:rPr>
                <w:rFonts w:hint="eastAsia" w:ascii="黑体" w:hAnsi="黑体" w:eastAsia="黑体" w:cs="方正黑体简体"/>
                <w:sz w:val="28"/>
                <w:szCs w:val="28"/>
              </w:rPr>
              <w:t>序号</w:t>
            </w:r>
          </w:p>
        </w:tc>
        <w:tc>
          <w:tcPr>
            <w:tcW w:w="1505" w:type="dxa"/>
            <w:noWrap w:val="0"/>
            <w:vAlign w:val="center"/>
          </w:tcPr>
          <w:p w14:paraId="244F3161">
            <w:pPr>
              <w:spacing w:line="440" w:lineRule="exact"/>
              <w:jc w:val="center"/>
              <w:rPr>
                <w:rFonts w:hint="eastAsia" w:ascii="黑体" w:hAnsi="黑体" w:eastAsia="黑体" w:cs="方正黑体简体"/>
                <w:sz w:val="28"/>
                <w:szCs w:val="28"/>
              </w:rPr>
            </w:pPr>
            <w:r>
              <w:rPr>
                <w:rFonts w:hint="eastAsia" w:ascii="黑体" w:hAnsi="黑体" w:eastAsia="黑体" w:cs="方正黑体简体"/>
                <w:sz w:val="28"/>
                <w:szCs w:val="28"/>
              </w:rPr>
              <w:t>执法类别</w:t>
            </w:r>
          </w:p>
        </w:tc>
        <w:tc>
          <w:tcPr>
            <w:tcW w:w="3100" w:type="dxa"/>
            <w:noWrap w:val="0"/>
            <w:vAlign w:val="center"/>
          </w:tcPr>
          <w:p w14:paraId="6E2DFD41">
            <w:pPr>
              <w:spacing w:line="440" w:lineRule="exact"/>
              <w:jc w:val="center"/>
              <w:rPr>
                <w:rFonts w:hint="eastAsia" w:ascii="黑体" w:hAnsi="黑体" w:eastAsia="黑体" w:cs="方正黑体简体"/>
                <w:sz w:val="28"/>
                <w:szCs w:val="28"/>
              </w:rPr>
            </w:pPr>
            <w:r>
              <w:rPr>
                <w:rFonts w:hint="eastAsia" w:ascii="黑体" w:hAnsi="黑体" w:eastAsia="黑体" w:cs="方正黑体简体"/>
                <w:sz w:val="28"/>
                <w:szCs w:val="28"/>
              </w:rPr>
              <w:t>执法事项名称</w:t>
            </w:r>
          </w:p>
        </w:tc>
        <w:tc>
          <w:tcPr>
            <w:tcW w:w="5678" w:type="dxa"/>
            <w:noWrap w:val="0"/>
            <w:vAlign w:val="center"/>
          </w:tcPr>
          <w:p w14:paraId="46F9EB13">
            <w:pPr>
              <w:spacing w:line="440" w:lineRule="exact"/>
              <w:jc w:val="center"/>
              <w:rPr>
                <w:rFonts w:hint="eastAsia" w:ascii="黑体" w:hAnsi="黑体" w:eastAsia="黑体" w:cs="方正黑体简体"/>
                <w:sz w:val="28"/>
                <w:szCs w:val="28"/>
              </w:rPr>
            </w:pPr>
            <w:r>
              <w:rPr>
                <w:rFonts w:hint="eastAsia" w:ascii="黑体" w:hAnsi="黑体" w:eastAsia="黑体" w:cs="方正黑体简体"/>
                <w:sz w:val="28"/>
                <w:szCs w:val="28"/>
                <w:lang w:val="en-US" w:eastAsia="zh-CN"/>
              </w:rPr>
              <w:t>实施</w:t>
            </w:r>
            <w:r>
              <w:rPr>
                <w:rFonts w:hint="eastAsia" w:ascii="黑体" w:hAnsi="黑体" w:eastAsia="黑体" w:cs="方正黑体简体"/>
                <w:sz w:val="28"/>
                <w:szCs w:val="28"/>
              </w:rPr>
              <w:t>依据</w:t>
            </w:r>
          </w:p>
        </w:tc>
        <w:tc>
          <w:tcPr>
            <w:tcW w:w="1811" w:type="dxa"/>
            <w:noWrap w:val="0"/>
            <w:vAlign w:val="center"/>
          </w:tcPr>
          <w:p w14:paraId="6C7B563E">
            <w:pPr>
              <w:spacing w:line="440" w:lineRule="exact"/>
              <w:jc w:val="center"/>
              <w:rPr>
                <w:rFonts w:hint="eastAsia" w:ascii="黑体" w:hAnsi="黑体" w:eastAsia="黑体" w:cs="方正黑体简体"/>
                <w:sz w:val="28"/>
                <w:szCs w:val="28"/>
              </w:rPr>
            </w:pPr>
            <w:r>
              <w:rPr>
                <w:rFonts w:hint="eastAsia" w:ascii="黑体" w:hAnsi="黑体" w:eastAsia="黑体" w:cs="方正黑体简体"/>
                <w:sz w:val="28"/>
                <w:szCs w:val="28"/>
              </w:rPr>
              <w:t>承办机构</w:t>
            </w:r>
          </w:p>
        </w:tc>
        <w:tc>
          <w:tcPr>
            <w:tcW w:w="1345" w:type="dxa"/>
            <w:noWrap w:val="0"/>
            <w:vAlign w:val="center"/>
          </w:tcPr>
          <w:p w14:paraId="313FC5AE">
            <w:pPr>
              <w:spacing w:line="440" w:lineRule="exact"/>
              <w:jc w:val="center"/>
              <w:rPr>
                <w:rFonts w:hint="eastAsia" w:ascii="黑体" w:hAnsi="黑体" w:eastAsia="黑体" w:cs="方正黑体简体"/>
                <w:sz w:val="28"/>
                <w:szCs w:val="28"/>
              </w:rPr>
            </w:pPr>
            <w:r>
              <w:rPr>
                <w:rFonts w:hint="eastAsia" w:ascii="黑体" w:hAnsi="黑体" w:eastAsia="黑体" w:cs="方正黑体简体"/>
                <w:sz w:val="28"/>
                <w:szCs w:val="28"/>
              </w:rPr>
              <w:t>备注</w:t>
            </w:r>
          </w:p>
        </w:tc>
      </w:tr>
      <w:tr w14:paraId="3565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46CA5C3F">
            <w:pPr>
              <w:jc w:val="center"/>
              <w:rPr>
                <w:rFonts w:hint="eastAsia" w:eastAsiaTheme="minorEastAsia"/>
                <w:lang w:val="en-US" w:eastAsia="zh-CN"/>
              </w:rPr>
            </w:pPr>
            <w:r>
              <w:rPr>
                <w:rFonts w:hint="eastAsia"/>
                <w:lang w:val="en-US" w:eastAsia="zh-CN"/>
              </w:rPr>
              <w:t>1</w:t>
            </w:r>
          </w:p>
        </w:tc>
        <w:tc>
          <w:tcPr>
            <w:tcW w:w="1505" w:type="dxa"/>
            <w:noWrap w:val="0"/>
            <w:vAlign w:val="center"/>
          </w:tcPr>
          <w:p w14:paraId="7AD803B1">
            <w:pPr>
              <w:jc w:val="center"/>
              <w:rPr>
                <w:rFonts w:hint="eastAsia" w:eastAsiaTheme="minorEastAsia"/>
                <w:lang w:val="en-US" w:eastAsia="zh-CN"/>
              </w:rPr>
            </w:pPr>
            <w:r>
              <w:rPr>
                <w:rFonts w:hint="eastAsia"/>
                <w:lang w:val="en-US" w:eastAsia="zh-CN"/>
              </w:rPr>
              <w:t>行政处罚</w:t>
            </w:r>
          </w:p>
        </w:tc>
        <w:tc>
          <w:tcPr>
            <w:tcW w:w="3100" w:type="dxa"/>
            <w:noWrap w:val="0"/>
            <w:vAlign w:val="center"/>
          </w:tcPr>
          <w:p w14:paraId="4D375759">
            <w:pPr>
              <w:jc w:val="both"/>
              <w:rPr>
                <w:rFonts w:hint="eastAsia"/>
              </w:rPr>
            </w:pPr>
            <w:r>
              <w:rPr>
                <w:rFonts w:hint="eastAsia"/>
                <w:lang w:val="en-US" w:eastAsia="zh-CN"/>
              </w:rPr>
              <w:t>对被审计单位拒绝、拖延提供与审计事项有关的资料，或者提供的资料不真实、不完整，或者拒绝、阻碍检查、调查、核实有关情况的处罚</w:t>
            </w:r>
          </w:p>
        </w:tc>
        <w:tc>
          <w:tcPr>
            <w:tcW w:w="5678" w:type="dxa"/>
            <w:noWrap w:val="0"/>
            <w:vAlign w:val="center"/>
          </w:tcPr>
          <w:p w14:paraId="113C0D2F">
            <w:pPr>
              <w:jc w:val="both"/>
              <w:rPr>
                <w:rFonts w:hint="eastAsia"/>
              </w:rPr>
            </w:pPr>
            <w:r>
              <w:rPr>
                <w:rFonts w:hint="eastAsia"/>
              </w:rPr>
              <w:t>《中华人民共和国审计法》（2021修正）第四十七条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tc>
        <w:tc>
          <w:tcPr>
            <w:tcW w:w="1811" w:type="dxa"/>
            <w:noWrap w:val="0"/>
            <w:vAlign w:val="center"/>
          </w:tcPr>
          <w:p w14:paraId="0F916F80">
            <w:pPr>
              <w:jc w:val="center"/>
              <w:rPr>
                <w:rFonts w:hint="eastAsia" w:eastAsiaTheme="minorEastAsia"/>
                <w:lang w:val="en-US" w:eastAsia="zh-CN"/>
              </w:rPr>
            </w:pPr>
            <w:r>
              <w:rPr>
                <w:rFonts w:hint="eastAsia"/>
                <w:lang w:val="en-US" w:eastAsia="zh-CN"/>
              </w:rPr>
              <w:t>各业务科室</w:t>
            </w:r>
          </w:p>
        </w:tc>
        <w:tc>
          <w:tcPr>
            <w:tcW w:w="1345" w:type="dxa"/>
            <w:noWrap w:val="0"/>
            <w:vAlign w:val="center"/>
          </w:tcPr>
          <w:p w14:paraId="1B9BD330">
            <w:pPr>
              <w:jc w:val="center"/>
              <w:rPr>
                <w:rFonts w:hint="eastAsia"/>
              </w:rPr>
            </w:pPr>
          </w:p>
        </w:tc>
      </w:tr>
      <w:tr w14:paraId="551C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7FCA001E">
            <w:pPr>
              <w:jc w:val="center"/>
              <w:rPr>
                <w:rFonts w:hint="eastAsia" w:eastAsiaTheme="minorEastAsia"/>
                <w:lang w:val="en-US" w:eastAsia="zh-CN"/>
              </w:rPr>
            </w:pPr>
            <w:r>
              <w:rPr>
                <w:rFonts w:hint="eastAsia"/>
                <w:lang w:val="en-US" w:eastAsia="zh-CN"/>
              </w:rPr>
              <w:t>2</w:t>
            </w:r>
          </w:p>
        </w:tc>
        <w:tc>
          <w:tcPr>
            <w:tcW w:w="1505" w:type="dxa"/>
            <w:noWrap w:val="0"/>
            <w:vAlign w:val="center"/>
          </w:tcPr>
          <w:p w14:paraId="0B5AA95E">
            <w:pPr>
              <w:jc w:val="center"/>
              <w:rPr>
                <w:rFonts w:hint="eastAsia" w:eastAsiaTheme="minorEastAsia"/>
                <w:lang w:val="en-US" w:eastAsia="zh-CN"/>
              </w:rPr>
            </w:pPr>
            <w:r>
              <w:rPr>
                <w:rFonts w:hint="eastAsia"/>
                <w:lang w:val="en-US" w:eastAsia="zh-CN"/>
              </w:rPr>
              <w:t>行政处罚</w:t>
            </w:r>
          </w:p>
        </w:tc>
        <w:tc>
          <w:tcPr>
            <w:tcW w:w="3100" w:type="dxa"/>
            <w:noWrap w:val="0"/>
            <w:vAlign w:val="center"/>
          </w:tcPr>
          <w:p w14:paraId="7A800686">
            <w:pPr>
              <w:jc w:val="both"/>
              <w:rPr>
                <w:rFonts w:hint="eastAsia"/>
              </w:rPr>
            </w:pPr>
            <w:r>
              <w:rPr>
                <w:rFonts w:hint="eastAsia"/>
              </w:rPr>
              <w:t>对被审计单位违反国家规定的财务收支行为的处罚</w:t>
            </w:r>
          </w:p>
        </w:tc>
        <w:tc>
          <w:tcPr>
            <w:tcW w:w="5678" w:type="dxa"/>
            <w:noWrap w:val="0"/>
            <w:vAlign w:val="center"/>
          </w:tcPr>
          <w:p w14:paraId="2A82BF05">
            <w:pPr>
              <w:jc w:val="both"/>
              <w:rPr>
                <w:rFonts w:hint="eastAsia"/>
              </w:rPr>
            </w:pPr>
            <w:r>
              <w:rPr>
                <w:rFonts w:hint="eastAsia"/>
              </w:rPr>
              <w:t>《中华人民共和国审计法》（2021修正）第五十条 对被审计单位违反国家规定的财务收支行为，审计机关、人民政府或者有关主管部门在法定职权范围内，依照法律、行政法规的规定，区别情况采取前条规定的处理措施，并可以依法给予处罚。</w:t>
            </w:r>
          </w:p>
        </w:tc>
        <w:tc>
          <w:tcPr>
            <w:tcW w:w="1811" w:type="dxa"/>
            <w:noWrap w:val="0"/>
            <w:vAlign w:val="center"/>
          </w:tcPr>
          <w:p w14:paraId="21DBB6E9">
            <w:pPr>
              <w:jc w:val="center"/>
              <w:rPr>
                <w:rFonts w:hint="eastAsia"/>
              </w:rPr>
            </w:pPr>
            <w:r>
              <w:rPr>
                <w:rFonts w:hint="eastAsia"/>
                <w:lang w:val="en-US" w:eastAsia="zh-CN"/>
              </w:rPr>
              <w:t>各业务科室</w:t>
            </w:r>
          </w:p>
        </w:tc>
        <w:tc>
          <w:tcPr>
            <w:tcW w:w="1345" w:type="dxa"/>
            <w:noWrap w:val="0"/>
            <w:vAlign w:val="center"/>
          </w:tcPr>
          <w:p w14:paraId="46379500">
            <w:pPr>
              <w:jc w:val="center"/>
              <w:rPr>
                <w:rFonts w:hint="eastAsia"/>
              </w:rPr>
            </w:pPr>
          </w:p>
        </w:tc>
      </w:tr>
      <w:tr w14:paraId="26FE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C7C4388">
            <w:pPr>
              <w:jc w:val="center"/>
              <w:rPr>
                <w:rFonts w:hint="eastAsia" w:eastAsiaTheme="minorEastAsia"/>
                <w:lang w:val="en-US" w:eastAsia="zh-CN"/>
              </w:rPr>
            </w:pPr>
            <w:r>
              <w:rPr>
                <w:rFonts w:hint="eastAsia"/>
                <w:lang w:val="en-US" w:eastAsia="zh-CN"/>
              </w:rPr>
              <w:t>3</w:t>
            </w:r>
          </w:p>
        </w:tc>
        <w:tc>
          <w:tcPr>
            <w:tcW w:w="1505" w:type="dxa"/>
            <w:noWrap w:val="0"/>
            <w:vAlign w:val="center"/>
          </w:tcPr>
          <w:p w14:paraId="24E4476E">
            <w:pPr>
              <w:jc w:val="center"/>
              <w:rPr>
                <w:rFonts w:hint="default" w:eastAsiaTheme="minorEastAsia"/>
                <w:lang w:val="en-US" w:eastAsia="zh-CN"/>
              </w:rPr>
            </w:pPr>
            <w:r>
              <w:rPr>
                <w:rFonts w:hint="eastAsia"/>
                <w:lang w:val="en-US" w:eastAsia="zh-CN"/>
              </w:rPr>
              <w:t>行政强制</w:t>
            </w:r>
          </w:p>
        </w:tc>
        <w:tc>
          <w:tcPr>
            <w:tcW w:w="3100" w:type="dxa"/>
            <w:noWrap w:val="0"/>
            <w:vAlign w:val="center"/>
          </w:tcPr>
          <w:p w14:paraId="440C8313">
            <w:pPr>
              <w:jc w:val="both"/>
              <w:rPr>
                <w:rFonts w:hint="eastAsia"/>
              </w:rPr>
            </w:pPr>
            <w:r>
              <w:rPr>
                <w:rFonts w:hint="eastAsia"/>
              </w:rPr>
              <w:t>封存被审计单位有关资料和违反国家规定取得的资产</w:t>
            </w:r>
          </w:p>
        </w:tc>
        <w:tc>
          <w:tcPr>
            <w:tcW w:w="5678" w:type="dxa"/>
            <w:noWrap w:val="0"/>
            <w:vAlign w:val="center"/>
          </w:tcPr>
          <w:p w14:paraId="03A50E57">
            <w:pPr>
              <w:jc w:val="both"/>
              <w:rPr>
                <w:rFonts w:hint="eastAsia"/>
              </w:rPr>
            </w:pPr>
            <w:r>
              <w:rPr>
                <w:rFonts w:hint="eastAsia"/>
              </w:rPr>
              <w:t>中华人民共和国审计法》（2021修正）第三十八条第二款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14:paraId="012DE977">
            <w:pPr>
              <w:jc w:val="both"/>
              <w:rPr>
                <w:rFonts w:hint="eastAsia"/>
              </w:rPr>
            </w:pPr>
            <w:r>
              <w:rPr>
                <w:rFonts w:hint="eastAsia"/>
              </w:rPr>
              <w:t>《审计机关封存资料资产规定》(审计署令第9号)第四条 有下列情形之一的，审计机关可以采取封存措施：（一）被审计单位正在或者可能转移、隐匿、篡改、毁弃会计凭证、会计账簿、财务会计报告以及其他与财政收支或者财务收支有关的资料的；（二）被审计单位正在或者可能转移、隐匿违反国家规定取得的资产的。</w:t>
            </w:r>
          </w:p>
        </w:tc>
        <w:tc>
          <w:tcPr>
            <w:tcW w:w="1811" w:type="dxa"/>
            <w:noWrap w:val="0"/>
            <w:vAlign w:val="center"/>
          </w:tcPr>
          <w:p w14:paraId="563C2628">
            <w:pPr>
              <w:jc w:val="center"/>
              <w:rPr>
                <w:rFonts w:hint="eastAsia"/>
              </w:rPr>
            </w:pPr>
            <w:r>
              <w:rPr>
                <w:rFonts w:hint="eastAsia"/>
                <w:lang w:val="en-US" w:eastAsia="zh-CN"/>
              </w:rPr>
              <w:t>各业务科室</w:t>
            </w:r>
          </w:p>
        </w:tc>
        <w:tc>
          <w:tcPr>
            <w:tcW w:w="1345" w:type="dxa"/>
            <w:noWrap w:val="0"/>
            <w:vAlign w:val="center"/>
          </w:tcPr>
          <w:p w14:paraId="5A5F24C2">
            <w:pPr>
              <w:jc w:val="center"/>
              <w:rPr>
                <w:rFonts w:hint="eastAsia"/>
              </w:rPr>
            </w:pPr>
          </w:p>
        </w:tc>
      </w:tr>
      <w:tr w14:paraId="095C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4ED9BA0A">
            <w:pPr>
              <w:jc w:val="center"/>
              <w:rPr>
                <w:rFonts w:hint="eastAsia" w:eastAsiaTheme="minorEastAsia"/>
                <w:lang w:val="en-US" w:eastAsia="zh-CN"/>
              </w:rPr>
            </w:pPr>
            <w:r>
              <w:rPr>
                <w:rFonts w:hint="eastAsia"/>
                <w:lang w:val="en-US" w:eastAsia="zh-CN"/>
              </w:rPr>
              <w:t>4</w:t>
            </w:r>
          </w:p>
        </w:tc>
        <w:tc>
          <w:tcPr>
            <w:tcW w:w="1505" w:type="dxa"/>
            <w:noWrap w:val="0"/>
            <w:vAlign w:val="center"/>
          </w:tcPr>
          <w:p w14:paraId="7C86E7FB">
            <w:pPr>
              <w:jc w:val="center"/>
              <w:rPr>
                <w:rFonts w:hint="eastAsia" w:eastAsiaTheme="minorEastAsia"/>
                <w:lang w:val="en-US" w:eastAsia="zh-CN"/>
              </w:rPr>
            </w:pPr>
            <w:r>
              <w:rPr>
                <w:rFonts w:hint="eastAsia"/>
                <w:lang w:val="en-US" w:eastAsia="zh-CN"/>
              </w:rPr>
              <w:t>行政强制</w:t>
            </w:r>
          </w:p>
        </w:tc>
        <w:tc>
          <w:tcPr>
            <w:tcW w:w="3100" w:type="dxa"/>
            <w:noWrap w:val="0"/>
            <w:vAlign w:val="center"/>
          </w:tcPr>
          <w:p w14:paraId="789D1F6E">
            <w:pPr>
              <w:jc w:val="both"/>
              <w:rPr>
                <w:rFonts w:hint="eastAsia"/>
              </w:rPr>
            </w:pPr>
            <w:r>
              <w:rPr>
                <w:rFonts w:hint="eastAsia"/>
              </w:rPr>
              <w:t>通知财政部门和有关部门暂停拨付款项</w:t>
            </w:r>
          </w:p>
        </w:tc>
        <w:tc>
          <w:tcPr>
            <w:tcW w:w="5678" w:type="dxa"/>
            <w:noWrap w:val="0"/>
            <w:vAlign w:val="center"/>
          </w:tcPr>
          <w:p w14:paraId="10D544F3">
            <w:pPr>
              <w:jc w:val="both"/>
              <w:rPr>
                <w:rFonts w:hint="eastAsia"/>
              </w:rPr>
            </w:pPr>
            <w:r>
              <w:rPr>
                <w:rFonts w:hint="eastAsia"/>
              </w:rPr>
              <w:t>《中华人民共和国审计法》（2021修正）第三十八条第三款 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tc>
        <w:tc>
          <w:tcPr>
            <w:tcW w:w="1811" w:type="dxa"/>
            <w:noWrap w:val="0"/>
            <w:vAlign w:val="center"/>
          </w:tcPr>
          <w:p w14:paraId="34A9E105">
            <w:pPr>
              <w:jc w:val="center"/>
              <w:rPr>
                <w:rFonts w:hint="default" w:eastAsiaTheme="minorEastAsia"/>
                <w:lang w:val="en-US" w:eastAsia="zh-CN"/>
              </w:rPr>
            </w:pPr>
            <w:r>
              <w:rPr>
                <w:rFonts w:hint="eastAsia"/>
                <w:lang w:val="en-US" w:eastAsia="zh-CN"/>
              </w:rPr>
              <w:t>各业务科室</w:t>
            </w:r>
          </w:p>
        </w:tc>
        <w:tc>
          <w:tcPr>
            <w:tcW w:w="1345" w:type="dxa"/>
            <w:noWrap w:val="0"/>
            <w:vAlign w:val="center"/>
          </w:tcPr>
          <w:p w14:paraId="1655BF19">
            <w:pPr>
              <w:jc w:val="center"/>
              <w:rPr>
                <w:rFonts w:hint="eastAsia"/>
              </w:rPr>
            </w:pPr>
          </w:p>
        </w:tc>
      </w:tr>
      <w:tr w14:paraId="6DD9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25EEAC11">
            <w:pPr>
              <w:jc w:val="center"/>
              <w:rPr>
                <w:rFonts w:hint="eastAsia" w:eastAsiaTheme="minorEastAsia"/>
                <w:lang w:val="en-US" w:eastAsia="zh-CN"/>
              </w:rPr>
            </w:pPr>
            <w:r>
              <w:rPr>
                <w:rFonts w:hint="eastAsia"/>
                <w:lang w:val="en-US" w:eastAsia="zh-CN"/>
              </w:rPr>
              <w:t>5</w:t>
            </w:r>
          </w:p>
        </w:tc>
        <w:tc>
          <w:tcPr>
            <w:tcW w:w="1505" w:type="dxa"/>
            <w:noWrap w:val="0"/>
            <w:vAlign w:val="center"/>
          </w:tcPr>
          <w:p w14:paraId="7FED8A5D">
            <w:pPr>
              <w:jc w:val="center"/>
              <w:rPr>
                <w:rFonts w:hint="default" w:eastAsiaTheme="minorEastAsia"/>
                <w:lang w:val="en-US" w:eastAsia="zh-CN"/>
              </w:rPr>
            </w:pPr>
            <w:r>
              <w:rPr>
                <w:rFonts w:hint="eastAsia"/>
                <w:lang w:val="en-US" w:eastAsia="zh-CN"/>
              </w:rPr>
              <w:t>其他权力类型</w:t>
            </w:r>
          </w:p>
        </w:tc>
        <w:tc>
          <w:tcPr>
            <w:tcW w:w="3100" w:type="dxa"/>
            <w:noWrap w:val="0"/>
            <w:vAlign w:val="center"/>
          </w:tcPr>
          <w:p w14:paraId="159B8E4C">
            <w:pPr>
              <w:jc w:val="both"/>
              <w:rPr>
                <w:rFonts w:hint="eastAsia"/>
              </w:rPr>
            </w:pPr>
            <w:r>
              <w:rPr>
                <w:rFonts w:hint="eastAsia"/>
              </w:rPr>
              <w:t>对被审计单位违反预算的行为或者其他违反国家规定的财政收支行为的处理</w:t>
            </w:r>
          </w:p>
        </w:tc>
        <w:tc>
          <w:tcPr>
            <w:tcW w:w="5678" w:type="dxa"/>
            <w:noWrap w:val="0"/>
            <w:vAlign w:val="center"/>
          </w:tcPr>
          <w:p w14:paraId="3D7146D3">
            <w:pPr>
              <w:jc w:val="both"/>
              <w:rPr>
                <w:rFonts w:hint="eastAsia"/>
              </w:rPr>
            </w:pPr>
            <w:r>
              <w:rPr>
                <w:rFonts w:hint="eastAsia"/>
              </w:rPr>
              <w:t>《中华人民共和国审计法》（2021修正）第四十九条　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14:paraId="0F9259E8">
            <w:pPr>
              <w:jc w:val="both"/>
              <w:rPr>
                <w:rFonts w:hint="eastAsia"/>
              </w:rPr>
            </w:pPr>
            <w:r>
              <w:rPr>
                <w:rFonts w:hint="eastAsia"/>
              </w:rPr>
              <w:t>（一）责令限期缴纳应当上缴的款项；</w:t>
            </w:r>
          </w:p>
          <w:p w14:paraId="43CA94DC">
            <w:pPr>
              <w:jc w:val="both"/>
              <w:rPr>
                <w:rFonts w:hint="eastAsia"/>
              </w:rPr>
            </w:pPr>
            <w:r>
              <w:rPr>
                <w:rFonts w:hint="eastAsia"/>
              </w:rPr>
              <w:t>（二）责令限期退还被侵占的国有资产；</w:t>
            </w:r>
          </w:p>
          <w:p w14:paraId="57C55B92">
            <w:pPr>
              <w:jc w:val="both"/>
              <w:rPr>
                <w:rFonts w:hint="eastAsia"/>
              </w:rPr>
            </w:pPr>
            <w:r>
              <w:rPr>
                <w:rFonts w:hint="eastAsia"/>
              </w:rPr>
              <w:t>（三）责令限期退还违法所得；</w:t>
            </w:r>
          </w:p>
          <w:p w14:paraId="106090F2">
            <w:pPr>
              <w:jc w:val="both"/>
              <w:rPr>
                <w:rFonts w:hint="eastAsia"/>
              </w:rPr>
            </w:pPr>
            <w:r>
              <w:rPr>
                <w:rFonts w:hint="eastAsia"/>
              </w:rPr>
              <w:t>（四）责令按照国家统一的财务、会计制度的有关规定进行处理；</w:t>
            </w:r>
          </w:p>
          <w:p w14:paraId="26A85CD4">
            <w:pPr>
              <w:jc w:val="both"/>
              <w:rPr>
                <w:rFonts w:hint="eastAsia"/>
              </w:rPr>
            </w:pPr>
            <w:r>
              <w:rPr>
                <w:rFonts w:hint="eastAsia"/>
              </w:rPr>
              <w:t>（五）其他处理措施。</w:t>
            </w:r>
          </w:p>
        </w:tc>
        <w:tc>
          <w:tcPr>
            <w:tcW w:w="1811" w:type="dxa"/>
            <w:noWrap w:val="0"/>
            <w:vAlign w:val="center"/>
          </w:tcPr>
          <w:p w14:paraId="0BBD2A56">
            <w:pPr>
              <w:jc w:val="center"/>
              <w:rPr>
                <w:rFonts w:hint="eastAsia"/>
              </w:rPr>
            </w:pPr>
            <w:r>
              <w:rPr>
                <w:rFonts w:hint="eastAsia"/>
                <w:lang w:val="en-US" w:eastAsia="zh-CN"/>
              </w:rPr>
              <w:t>各业务科室</w:t>
            </w:r>
          </w:p>
        </w:tc>
        <w:tc>
          <w:tcPr>
            <w:tcW w:w="1345" w:type="dxa"/>
            <w:noWrap w:val="0"/>
            <w:vAlign w:val="center"/>
          </w:tcPr>
          <w:p w14:paraId="0E7D0FF6">
            <w:pPr>
              <w:jc w:val="center"/>
              <w:rPr>
                <w:rFonts w:hint="eastAsia"/>
              </w:rPr>
            </w:pPr>
          </w:p>
        </w:tc>
      </w:tr>
    </w:tbl>
    <w:p w14:paraId="5D971571">
      <w:pPr>
        <w:rPr>
          <w:rFonts w:hint="eastAsia" w:ascii="黑体" w:hAnsi="黑体" w:eastAsia="黑体" w:cs="黑体"/>
          <w:sz w:val="32"/>
          <w:szCs w:val="40"/>
          <w:lang w:val="en-US" w:eastAsia="zh-CN"/>
        </w:rPr>
      </w:pPr>
    </w:p>
    <w:p w14:paraId="39FE2498">
      <w:pPr>
        <w:rPr>
          <w:rFonts w:hint="eastAsia" w:ascii="黑体" w:hAnsi="黑体" w:eastAsia="黑体" w:cs="黑体"/>
          <w:sz w:val="32"/>
          <w:szCs w:val="40"/>
          <w:lang w:val="en-US" w:eastAsia="zh-CN"/>
        </w:rPr>
      </w:pPr>
    </w:p>
    <w:p w14:paraId="7160F344">
      <w:pPr>
        <w:rPr>
          <w:rFonts w:hint="eastAsia" w:ascii="黑体" w:hAnsi="黑体" w:eastAsia="黑体" w:cs="黑体"/>
          <w:sz w:val="32"/>
          <w:szCs w:val="40"/>
          <w:lang w:val="en-US" w:eastAsia="zh-CN"/>
        </w:rPr>
      </w:pPr>
    </w:p>
    <w:p w14:paraId="65D61C89">
      <w:pPr>
        <w:rPr>
          <w:rFonts w:hint="eastAsia" w:ascii="黑体" w:hAnsi="黑体" w:eastAsia="黑体" w:cs="黑体"/>
          <w:sz w:val="32"/>
          <w:szCs w:val="40"/>
          <w:lang w:val="en-US" w:eastAsia="zh-CN"/>
        </w:rPr>
      </w:pPr>
    </w:p>
    <w:p w14:paraId="6F6395D1">
      <w:pPr>
        <w:jc w:val="both"/>
        <w:rPr>
          <w:rFonts w:hint="default" w:ascii="仿宋_GB2312" w:hAnsi="仿宋_GB2312" w:eastAsia="仿宋_GB2312" w:cs="仿宋_GB2312"/>
          <w:sz w:val="32"/>
          <w:szCs w:val="40"/>
          <w:lang w:val="en-US" w:eastAsia="zh-CN"/>
        </w:rPr>
      </w:pPr>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MDZjYjAyYjc3M2Y2MGM1OGY4ZDMwNGFkNDhkOTAifQ=="/>
  </w:docVars>
  <w:rsids>
    <w:rsidRoot w:val="00000000"/>
    <w:rsid w:val="03D2732E"/>
    <w:rsid w:val="23B23B5F"/>
    <w:rsid w:val="2C8B44F9"/>
    <w:rsid w:val="44340AC8"/>
    <w:rsid w:val="477C10E5"/>
    <w:rsid w:val="4D746D1E"/>
    <w:rsid w:val="55735B78"/>
    <w:rsid w:val="649410BE"/>
    <w:rsid w:val="67FC73F0"/>
    <w:rsid w:val="6DCF78F1"/>
    <w:rsid w:val="7E00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1111</Words>
  <Characters>1126</Characters>
  <Lines>0</Lines>
  <Paragraphs>0</Paragraphs>
  <TotalTime>5</TotalTime>
  <ScaleCrop>false</ScaleCrop>
  <LinksUpToDate>false</LinksUpToDate>
  <CharactersWithSpaces>1132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2024-11-06T07:45:00Z</dcterms:created>
  <dc:creator>lenovo</dc:creator>
  <cp:lastModifiedBy>玻子汽水</cp:lastModifiedBy>
  <dcterms:modified xsi:type="dcterms:W3CDTF">2024-12-13T08:35:17Z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35E46D9305194046AC672088A4A68EA8_13</vt:lpwstr>
  </property>
</Properties>
</file>