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 w:rsidRPr="00D56EE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2024年灞桥区粮油规模种植主体</w:t>
      </w: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D56EE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单产提升项目实施方案</w:t>
      </w:r>
    </w:p>
    <w:p w:rsidR="00D56EEB" w:rsidRPr="00D56EEB" w:rsidRDefault="00D56EEB" w:rsidP="00D56EEB">
      <w:pPr>
        <w:widowControl/>
        <w:spacing w:before="100" w:after="100"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按照《农业农村部办公厅关于印发&lt;2024年粮油规模种植主体单产提升项目实施方案&gt;的通知》（农农发〔2024〕12号）《关于印发2024年农业经营主体能力提升资金项目实施方案的通知》（市农发〔2024〕148号）要求，结合灞桥区实际，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  <w:lang/>
        </w:rPr>
        <w:t>制定本方案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黑体" w:eastAsia="黑体" w:hAnsi="黑体" w:cs="黑体" w:hint="eastAsia"/>
          <w:kern w:val="0"/>
          <w:sz w:val="32"/>
          <w:szCs w:val="32"/>
        </w:rPr>
      </w:pPr>
      <w:r w:rsidRPr="00D56EEB">
        <w:rPr>
          <w:rFonts w:ascii="黑体" w:eastAsia="黑体" w:hAnsi="黑体" w:cs="黑体" w:hint="eastAsia"/>
          <w:kern w:val="0"/>
          <w:sz w:val="32"/>
          <w:szCs w:val="32"/>
        </w:rPr>
        <w:t>一、建设内容</w:t>
      </w:r>
    </w:p>
    <w:p w:rsidR="00D56EEB" w:rsidRPr="00D56EEB" w:rsidRDefault="00D56EEB" w:rsidP="00D56EE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D56EEB">
        <w:rPr>
          <w:rFonts w:ascii="仿宋_GB2312" w:eastAsia="仿宋_GB2312" w:hAnsi="仿宋_GB2312" w:cs="仿宋_GB2312" w:hint="eastAsia"/>
          <w:sz w:val="32"/>
          <w:szCs w:val="32"/>
        </w:rPr>
        <w:t>围绕大豆、玉米、小麦、油菜等主要粮油作物，聚焦灞桥区大面积单产提升行动，突出粮油规模种植主体这一关键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环节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注重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发挥科技增产支撑作用，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激发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调动种植主体优化组织方式、应用先进技术的积极性，围绕技术路径，充分挖掘地、种、肥、药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“全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要素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”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和耕、种、管、收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“全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环节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”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增产潜力，提高关键技术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的集成度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和覆盖面，培育一批种植能手和高产典型，将专家产量转化为农民产量、典型产量转化为大田产量，持续助推粮食生产小田变大田，推动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全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区粮食和重要农产品生产能力迈上新台阶。</w:t>
      </w: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D56EEB">
        <w:rPr>
          <w:rFonts w:ascii="黑体" w:eastAsia="黑体" w:hAnsi="黑体" w:cs="黑体" w:hint="eastAsia"/>
          <w:kern w:val="0"/>
          <w:sz w:val="32"/>
          <w:szCs w:val="32"/>
        </w:rPr>
        <w:t>二、补助对象及标准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Times New Roman" w:eastAsia="仿宋_GB2312" w:hAnsi="Times New Roman" w:cs="宋体" w:hint="eastAsia"/>
          <w:kern w:val="0"/>
          <w:sz w:val="32"/>
          <w:szCs w:val="32"/>
        </w:rPr>
      </w:pP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  <w:lang/>
        </w:rPr>
        <w:t>奖补对象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原则上为从事粮油规模种植，面积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100亩以上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（包括跨年和当年种植收获的粮油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  <w:lang/>
        </w:rPr>
        <w:t>作物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  <w:lang/>
        </w:rPr>
        <w:t>，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不含为其他主体和农户开展环节托管或全程托管的社会化服务面积）的大户、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lastRenderedPageBreak/>
        <w:t>家庭农场、农民合作社等新型农业经营主体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  <w:lang/>
        </w:rPr>
        <w:t>，因地制宜实施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玉米“增密度”、小麦“宽幅沟播”、大豆“全苗增粒”、油菜“一增三控”等关键技术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补助标准。按照平均每亩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50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元标准予以奖补。每个项目主体奖补资金原则上不超过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20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万元。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奖补资金与上年度结余资金统筹使用，不得与承担中央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  <w:lang/>
        </w:rPr>
        <w:t>财政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转移支付绿色高质高效行动主体重复，不得与其他社会化服务、新型经营主体培育等高度关联，支持环节接近重叠项目叠加补助，严格防止“垒大户”现象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。</w:t>
      </w: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 w:rsidRPr="00D56EEB">
        <w:rPr>
          <w:rFonts w:ascii="黑体" w:eastAsia="黑体" w:hAnsi="黑体" w:cs="黑体" w:hint="eastAsia"/>
          <w:kern w:val="0"/>
          <w:sz w:val="32"/>
          <w:szCs w:val="32"/>
        </w:rPr>
        <w:t>三、工作程序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 w:rsidRPr="00D56EEB">
        <w:rPr>
          <w:rFonts w:ascii="楷体_GB2312" w:eastAsia="楷体_GB2312" w:hAnsi="Times New Roman" w:cs="宋体" w:hint="eastAsia"/>
          <w:kern w:val="0"/>
          <w:sz w:val="32"/>
          <w:szCs w:val="32"/>
        </w:rPr>
        <w:t>（一）发布方案。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区农业农村局立足灞桥实际，制定具体实施方案，并通过政府信息网发布公告、给各涉农街办发送商密等方式广泛宣传。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6EEB">
        <w:rPr>
          <w:rFonts w:ascii="楷体_GB2312" w:eastAsia="楷体_GB2312" w:hAnsi="Times New Roman" w:cs="宋体" w:hint="eastAsia"/>
          <w:kern w:val="0"/>
          <w:sz w:val="32"/>
          <w:szCs w:val="32"/>
        </w:rPr>
        <w:t>（二）主体申报。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由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区农业农村局组织粮油规模种植主体自愿申报。申报主体应具备良好的生产基础，申报目标作物单产须高出当地同类作物大田平均单产的10%以上，申报面积</w:t>
      </w:r>
      <w:r w:rsidRPr="00D56EEB">
        <w:rPr>
          <w:rFonts w:ascii="仿宋_GB2312" w:eastAsia="仿宋_GB2312" w:hAnsi="仿宋_GB2312" w:cs="仿宋_GB2312"/>
          <w:sz w:val="32"/>
          <w:szCs w:val="32"/>
          <w:lang/>
        </w:rPr>
        <w:t>不低于</w:t>
      </w:r>
      <w:r w:rsidRPr="00D56EEB">
        <w:rPr>
          <w:rFonts w:ascii="仿宋_GB2312" w:eastAsia="仿宋_GB2312" w:hAnsi="仿宋_GB2312" w:cs="仿宋_GB2312" w:hint="eastAsia"/>
          <w:sz w:val="32"/>
          <w:szCs w:val="32"/>
        </w:rPr>
        <w:t>100亩（不含为其他主体和农户开展环节托管或全程托管的社会化服务面积）。申报材料需明确作物种类、种植面积、技术模式、目标单产等基本信息，并提供能够反映耕、种、管、收等生产过程中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关键技术、采取主要措施应用的照片、影像等佐证材料。报名时间截止9月25日。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6EEB">
        <w:rPr>
          <w:rFonts w:ascii="楷体_GB2312" w:eastAsia="楷体_GB2312" w:hAnsi="宋体" w:cs="仿宋_GB2312" w:hint="eastAsia"/>
          <w:kern w:val="0"/>
          <w:sz w:val="32"/>
          <w:szCs w:val="32"/>
        </w:rPr>
        <w:t>（三）区级测产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。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在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作物收获季节，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由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申报主体向区农业农局如实上报实际单产，区农科站按照不低于20%的比例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进行随机抽测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、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复核测产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。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严格确定测产范围，严格遴选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测产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专家，严格执行测产标准，严格规范测产过程，确保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测产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过程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和测产结果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公平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、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公正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  <w:lang/>
        </w:rPr>
        <w:t>、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公开，数据科学、真实、可靠。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（四）严格程序。因市级项目文件9月初下达，要求1</w:t>
      </w:r>
      <w:r w:rsidRPr="00D56EEB">
        <w:rPr>
          <w:rFonts w:ascii="仿宋_GB2312" w:eastAsia="仿宋_GB2312" w:hAnsi="仿宋_GB2312" w:cs="仿宋_GB2312"/>
          <w:kern w:val="0"/>
          <w:sz w:val="32"/>
          <w:szCs w:val="32"/>
        </w:rPr>
        <w:t>0</w:t>
      </w: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月中下旬结束。区农业农村局制定项目实施方案，并在网上公开后，同步进入报名和审核程序。资料审核合格后，组织区级测产。测产合格，在政府信息网进行公示。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D56EEB">
        <w:rPr>
          <w:rFonts w:ascii="楷体_GB2312" w:eastAsia="楷体_GB2312" w:hAnsi="宋体" w:cs="仿宋_GB2312" w:hint="eastAsia"/>
          <w:kern w:val="0"/>
          <w:sz w:val="32"/>
          <w:szCs w:val="32"/>
        </w:rPr>
        <w:t>（五）资金拨付。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区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农业农村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局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会同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区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财政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局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根据核实测产、结果公示等情况，对符合条件的粮油规模种植主体及时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兑付</w:t>
      </w:r>
      <w:r w:rsidRPr="00D56EEB">
        <w:rPr>
          <w:rFonts w:ascii="Times New Roman" w:eastAsia="仿宋_GB2312" w:hAnsi="Times New Roman" w:cs="宋体"/>
          <w:kern w:val="0"/>
          <w:sz w:val="32"/>
          <w:szCs w:val="32"/>
        </w:rPr>
        <w:t>奖补资金。</w:t>
      </w:r>
    </w:p>
    <w:p w:rsidR="00D56EEB" w:rsidRPr="00D56EEB" w:rsidRDefault="00D56EEB" w:rsidP="00D56EEB">
      <w:pPr>
        <w:widowControl/>
        <w:spacing w:before="100" w:after="100" w:line="580" w:lineRule="exact"/>
        <w:ind w:firstLine="645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（联系人：刘军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 xml:space="preserve">       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联系电话：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83550212</w:t>
      </w:r>
      <w:r w:rsidRPr="00D56EEB">
        <w:rPr>
          <w:rFonts w:ascii="Times New Roman" w:eastAsia="仿宋_GB2312" w:hAnsi="Times New Roman" w:cs="宋体" w:hint="eastAsia"/>
          <w:kern w:val="0"/>
          <w:sz w:val="32"/>
          <w:szCs w:val="32"/>
        </w:rPr>
        <w:t>）</w:t>
      </w: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D56EEB" w:rsidRPr="00D56EEB" w:rsidRDefault="00D56EEB" w:rsidP="00D56EEB">
      <w:pPr>
        <w:widowControl/>
        <w:spacing w:before="100" w:after="100"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附表：项目主体档案参考格式</w:t>
      </w: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sectPr w:rsidR="00D56EEB" w:rsidRPr="00D56EEB">
          <w:footerReference w:type="default" r:id="rId6"/>
          <w:pgSz w:w="11906" w:h="16838"/>
          <w:pgMar w:top="1440" w:right="1803" w:bottom="1440" w:left="1803" w:header="851" w:footer="992" w:gutter="0"/>
          <w:cols w:space="720"/>
          <w:docGrid w:type="lines" w:linePitch="319"/>
        </w:sectPr>
      </w:pP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  <w:r w:rsidRPr="00D56EEB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lastRenderedPageBreak/>
        <w:t>项目主体档案参考格式</w:t>
      </w:r>
    </w:p>
    <w:p w:rsidR="00D56EEB" w:rsidRPr="00D56EEB" w:rsidRDefault="00D56EEB" w:rsidP="00D56EEB">
      <w:pPr>
        <w:widowControl/>
        <w:spacing w:before="100" w:after="100" w:line="60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</w:pPr>
    </w:p>
    <w:p w:rsidR="00D56EEB" w:rsidRPr="00D56EEB" w:rsidRDefault="00D56EEB" w:rsidP="00D56EEB">
      <w:pPr>
        <w:widowControl/>
        <w:spacing w:before="100" w:after="100" w:line="6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D56EEB">
        <w:rPr>
          <w:rFonts w:ascii="仿宋_GB2312" w:eastAsia="仿宋_GB2312" w:hAnsi="仿宋_GB2312" w:cs="仿宋_GB2312" w:hint="eastAsia"/>
          <w:kern w:val="0"/>
          <w:sz w:val="32"/>
          <w:szCs w:val="32"/>
        </w:rPr>
        <w:t>地市：            时间：        填表人：       电话：</w:t>
      </w:r>
    </w:p>
    <w:tbl>
      <w:tblPr>
        <w:tblStyle w:val="a5"/>
        <w:tblW w:w="0" w:type="auto"/>
        <w:tblInd w:w="0" w:type="dxa"/>
        <w:tblLook w:val="0000"/>
      </w:tblPr>
      <w:tblGrid>
        <w:gridCol w:w="755"/>
        <w:gridCol w:w="1530"/>
        <w:gridCol w:w="1245"/>
        <w:gridCol w:w="1530"/>
        <w:gridCol w:w="1343"/>
        <w:gridCol w:w="1195"/>
        <w:gridCol w:w="887"/>
        <w:gridCol w:w="995"/>
        <w:gridCol w:w="1623"/>
        <w:gridCol w:w="1323"/>
        <w:gridCol w:w="1290"/>
      </w:tblGrid>
      <w:tr w:rsidR="00D56EEB" w:rsidRPr="00D56EEB" w:rsidTr="00E94F88">
        <w:tc>
          <w:tcPr>
            <w:tcW w:w="75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县（市、区）</w:t>
            </w:r>
          </w:p>
        </w:tc>
        <w:tc>
          <w:tcPr>
            <w:tcW w:w="124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项目主体</w:t>
            </w: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负责人姓名</w:t>
            </w:r>
          </w:p>
        </w:tc>
        <w:tc>
          <w:tcPr>
            <w:tcW w:w="134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身份证号码/社会信用代码</w:t>
            </w:r>
          </w:p>
        </w:tc>
        <w:tc>
          <w:tcPr>
            <w:tcW w:w="11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887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作物品种</w:t>
            </w:r>
          </w:p>
        </w:tc>
        <w:tc>
          <w:tcPr>
            <w:tcW w:w="9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面积（亩）</w:t>
            </w:r>
          </w:p>
        </w:tc>
        <w:tc>
          <w:tcPr>
            <w:tcW w:w="16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落实的关键技术措施</w:t>
            </w:r>
          </w:p>
        </w:tc>
        <w:tc>
          <w:tcPr>
            <w:tcW w:w="13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亩产水平（斤）</w:t>
            </w:r>
          </w:p>
        </w:tc>
        <w:tc>
          <w:tcPr>
            <w:tcW w:w="129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D56EEB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过程记录资料卷宗目录</w:t>
            </w:r>
          </w:p>
        </w:tc>
      </w:tr>
      <w:tr w:rsidR="00D56EEB" w:rsidRPr="00D56EEB" w:rsidTr="00E94F88">
        <w:tc>
          <w:tcPr>
            <w:tcW w:w="75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B" w:rsidRPr="00D56EEB" w:rsidTr="00E94F88">
        <w:tc>
          <w:tcPr>
            <w:tcW w:w="75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B" w:rsidRPr="00D56EEB" w:rsidTr="00E94F88">
        <w:tc>
          <w:tcPr>
            <w:tcW w:w="75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56EEB" w:rsidRPr="00D56EEB" w:rsidTr="00E94F88">
        <w:tc>
          <w:tcPr>
            <w:tcW w:w="75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D56EEB" w:rsidRPr="00D56EEB" w:rsidRDefault="00D56EEB" w:rsidP="00D56EEB">
            <w:pPr>
              <w:widowControl/>
              <w:spacing w:before="100" w:after="100" w:line="6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D56EEB" w:rsidRPr="00D56EEB" w:rsidRDefault="00D56EEB" w:rsidP="00D56EEB">
      <w:pPr>
        <w:spacing w:line="58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</w:p>
    <w:p w:rsidR="00FF5EFC" w:rsidRPr="00D56EEB" w:rsidRDefault="00FF5EFC"/>
    <w:sectPr w:rsidR="00FF5EFC" w:rsidRPr="00D56EEB" w:rsidSect="00D56E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EFC" w:rsidRDefault="00FF5EFC" w:rsidP="00D56EEB">
      <w:r>
        <w:separator/>
      </w:r>
    </w:p>
  </w:endnote>
  <w:endnote w:type="continuationSeparator" w:id="1">
    <w:p w:rsidR="00FF5EFC" w:rsidRDefault="00FF5EFC" w:rsidP="00D56E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EEB" w:rsidRDefault="00D56EEB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6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D56EEB" w:rsidRDefault="00D56EEB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Pr="00D56EEB"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EFC" w:rsidRDefault="00FF5EFC" w:rsidP="00D56EEB">
      <w:r>
        <w:separator/>
      </w:r>
    </w:p>
  </w:footnote>
  <w:footnote w:type="continuationSeparator" w:id="1">
    <w:p w:rsidR="00FF5EFC" w:rsidRDefault="00FF5EFC" w:rsidP="00D56E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6EEB"/>
    <w:rsid w:val="00D56EEB"/>
    <w:rsid w:val="00FF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E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E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E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EEB"/>
    <w:rPr>
      <w:sz w:val="18"/>
      <w:szCs w:val="18"/>
    </w:rPr>
  </w:style>
  <w:style w:type="table" w:styleId="a5">
    <w:name w:val="Table Grid"/>
    <w:basedOn w:val="a1"/>
    <w:rsid w:val="00D56EE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2024-09-20T02:45:00Z</dcterms:created>
  <dcterms:modified xsi:type="dcterms:W3CDTF">2024-09-20T02:46:00Z</dcterms:modified>
</cp:coreProperties>
</file>