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F0D9" w:themeColor="accent6" w:themeTint="33"/>
  <w:body>
    <w:p w14:paraId="517B8B89">
      <w:pPr>
        <w:rPr>
          <w:rFonts w:hint="default" w:ascii="Times New Roman" w:hAnsi="Times New Roman" w:cs="Times New Roman"/>
          <w:color w:val="auto"/>
        </w:rPr>
      </w:pPr>
    </w:p>
    <w:p w14:paraId="5C148700">
      <w:pPr>
        <w:rPr>
          <w:rFonts w:hint="default" w:ascii="Times New Roman" w:hAnsi="Times New Roman" w:cs="Times New Roman"/>
          <w:color w:val="auto"/>
        </w:rPr>
      </w:pPr>
    </w:p>
    <w:p w14:paraId="6EA14AEE">
      <w:pPr>
        <w:rPr>
          <w:rFonts w:hint="default" w:ascii="Times New Roman" w:hAnsi="Times New Roman" w:cs="Times New Roman"/>
          <w:color w:val="auto"/>
        </w:rPr>
      </w:pPr>
    </w:p>
    <w:p w14:paraId="015A2694">
      <w:pPr>
        <w:jc w:val="center"/>
        <w:rPr>
          <w:rFonts w:hint="default" w:ascii="Times New Roman" w:hAnsi="Times New Roman" w:cs="Times New Roman"/>
          <w:b/>
          <w:color w:val="auto"/>
          <w:sz w:val="48"/>
          <w:szCs w:val="48"/>
        </w:rPr>
      </w:pPr>
    </w:p>
    <w:p w14:paraId="365FEECD">
      <w:pPr>
        <w:pStyle w:val="6"/>
        <w:spacing w:line="480" w:lineRule="atLeast"/>
        <w:ind w:firstLine="0" w:firstLineChars="0"/>
        <w:jc w:val="center"/>
        <w:rPr>
          <w:rFonts w:hint="default" w:ascii="Times New Roman" w:hAnsi="Times New Roman" w:eastAsia="黑体" w:cs="Times New Roman"/>
          <w:color w:val="auto"/>
          <w:spacing w:val="-10"/>
          <w:sz w:val="52"/>
          <w:szCs w:val="52"/>
        </w:rPr>
      </w:pPr>
      <w:r>
        <w:rPr>
          <w:rFonts w:hint="eastAsia" w:ascii="Times New Roman" w:hAnsi="Times New Roman" w:eastAsia="黑体" w:cs="Times New Roman"/>
          <w:color w:val="auto"/>
          <w:spacing w:val="-10"/>
          <w:sz w:val="52"/>
          <w:szCs w:val="52"/>
          <w:lang w:val="en-US" w:eastAsia="zh-CN"/>
        </w:rPr>
        <w:t>西安市灞桥区狄寨街道狄寨村饮用水水源保护区划分技术报告</w:t>
      </w:r>
    </w:p>
    <w:p w14:paraId="0E0F683F">
      <w:pPr>
        <w:rPr>
          <w:rFonts w:hint="default" w:ascii="Times New Roman" w:hAnsi="Times New Roman" w:cs="Times New Roman"/>
          <w:color w:val="auto"/>
        </w:rPr>
      </w:pPr>
    </w:p>
    <w:p w14:paraId="45832AA3">
      <w:pPr>
        <w:rPr>
          <w:rFonts w:hint="default" w:ascii="Times New Roman" w:hAnsi="Times New Roman" w:cs="Times New Roman"/>
          <w:color w:val="auto"/>
        </w:rPr>
      </w:pPr>
    </w:p>
    <w:p w14:paraId="6B455A4A">
      <w:pP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w:t>
      </w:r>
    </w:p>
    <w:p w14:paraId="3A8D2CB8">
      <w:pPr>
        <w:rPr>
          <w:rFonts w:hint="default" w:ascii="Times New Roman" w:hAnsi="Times New Roman" w:cs="Times New Roman"/>
          <w:color w:val="auto"/>
        </w:rPr>
      </w:pPr>
    </w:p>
    <w:p w14:paraId="09DF5F0F">
      <w:pPr>
        <w:rPr>
          <w:rFonts w:hint="default" w:ascii="Times New Roman" w:hAnsi="Times New Roman" w:cs="Times New Roman"/>
          <w:color w:val="auto"/>
        </w:rPr>
      </w:pPr>
    </w:p>
    <w:p w14:paraId="17D2981E">
      <w:pPr>
        <w:rPr>
          <w:rFonts w:hint="default" w:ascii="Times New Roman" w:hAnsi="Times New Roman" w:cs="Times New Roman"/>
          <w:color w:val="auto"/>
        </w:rPr>
      </w:pPr>
    </w:p>
    <w:p w14:paraId="5D9A5CBE">
      <w:pPr>
        <w:rPr>
          <w:rFonts w:hint="default" w:ascii="Times New Roman" w:hAnsi="Times New Roman" w:cs="Times New Roman"/>
          <w:color w:val="auto"/>
        </w:rPr>
      </w:pPr>
    </w:p>
    <w:p w14:paraId="47E796E3">
      <w:pPr>
        <w:rPr>
          <w:rFonts w:hint="default" w:ascii="Times New Roman" w:hAnsi="Times New Roman" w:cs="Times New Roman"/>
          <w:color w:val="auto"/>
        </w:rPr>
      </w:pPr>
    </w:p>
    <w:p w14:paraId="3797DD93">
      <w:pPr>
        <w:rPr>
          <w:rFonts w:hint="default" w:ascii="Times New Roman" w:hAnsi="Times New Roman" w:cs="Times New Roman"/>
          <w:color w:val="auto"/>
        </w:rPr>
      </w:pPr>
    </w:p>
    <w:p w14:paraId="57093EFB">
      <w:pPr>
        <w:rPr>
          <w:rFonts w:hint="default" w:ascii="Times New Roman" w:hAnsi="Times New Roman" w:cs="Times New Roman"/>
          <w:color w:val="auto"/>
        </w:rPr>
      </w:pPr>
    </w:p>
    <w:p w14:paraId="62BA7D04">
      <w:pPr>
        <w:rPr>
          <w:rFonts w:hint="default" w:ascii="Times New Roman" w:hAnsi="Times New Roman" w:cs="Times New Roman"/>
          <w:color w:val="auto"/>
        </w:rPr>
      </w:pPr>
    </w:p>
    <w:p w14:paraId="15761EE8">
      <w:pPr>
        <w:rPr>
          <w:rFonts w:hint="default" w:ascii="Times New Roman" w:hAnsi="Times New Roman" w:cs="Times New Roman"/>
          <w:color w:val="auto"/>
        </w:rPr>
      </w:pPr>
    </w:p>
    <w:p w14:paraId="63FCF36E">
      <w:pPr>
        <w:rPr>
          <w:rFonts w:hint="default" w:ascii="Times New Roman" w:hAnsi="Times New Roman" w:cs="Times New Roman"/>
          <w:color w:val="auto"/>
        </w:rPr>
      </w:pPr>
    </w:p>
    <w:p w14:paraId="2916A5D1">
      <w:pPr>
        <w:rPr>
          <w:rFonts w:hint="default" w:ascii="Times New Roman" w:hAnsi="Times New Roman" w:cs="Times New Roman"/>
          <w:color w:val="auto"/>
        </w:rPr>
      </w:pPr>
    </w:p>
    <w:p w14:paraId="05AF2786">
      <w:pPr>
        <w:rPr>
          <w:rFonts w:hint="default" w:ascii="Times New Roman" w:hAnsi="Times New Roman" w:cs="Times New Roman"/>
          <w:color w:val="auto"/>
        </w:rPr>
      </w:pPr>
    </w:p>
    <w:p w14:paraId="525B877B">
      <w:pPr>
        <w:rPr>
          <w:rFonts w:hint="default" w:ascii="Times New Roman" w:hAnsi="Times New Roman" w:cs="Times New Roman"/>
          <w:color w:val="auto"/>
        </w:rPr>
      </w:pPr>
    </w:p>
    <w:p w14:paraId="681533B5">
      <w:pPr>
        <w:rPr>
          <w:rFonts w:hint="default" w:ascii="Times New Roman" w:hAnsi="Times New Roman" w:cs="Times New Roman"/>
          <w:color w:val="auto"/>
        </w:rPr>
      </w:pPr>
    </w:p>
    <w:p w14:paraId="21726951">
      <w:pPr>
        <w:rPr>
          <w:rFonts w:hint="default" w:ascii="Times New Roman" w:hAnsi="Times New Roman" w:cs="Times New Roman"/>
          <w:color w:val="auto"/>
        </w:rPr>
      </w:pPr>
    </w:p>
    <w:p w14:paraId="4F91E99E">
      <w:pPr>
        <w:rPr>
          <w:rFonts w:hint="default" w:ascii="Times New Roman" w:hAnsi="Times New Roman" w:cs="Times New Roman"/>
          <w:color w:val="auto"/>
        </w:rPr>
      </w:pPr>
    </w:p>
    <w:p w14:paraId="4E844355">
      <w:pPr>
        <w:rPr>
          <w:rFonts w:hint="default" w:ascii="Times New Roman" w:hAnsi="Times New Roman" w:cs="Times New Roman"/>
          <w:color w:val="auto"/>
        </w:rPr>
      </w:pPr>
    </w:p>
    <w:p w14:paraId="0DE73324">
      <w:pPr>
        <w:rPr>
          <w:rFonts w:hint="default" w:ascii="Times New Roman" w:hAnsi="Times New Roman" w:cs="Times New Roman"/>
          <w:color w:val="auto"/>
        </w:rPr>
      </w:pPr>
    </w:p>
    <w:p w14:paraId="497582F2">
      <w:pPr>
        <w:rPr>
          <w:rFonts w:hint="default" w:ascii="Times New Roman" w:hAnsi="Times New Roman" w:cs="Times New Roman"/>
          <w:color w:val="auto"/>
        </w:rPr>
      </w:pPr>
    </w:p>
    <w:p w14:paraId="7436A756">
      <w:pPr>
        <w:rPr>
          <w:rFonts w:hint="default" w:ascii="Times New Roman" w:hAnsi="Times New Roman" w:cs="Times New Roman"/>
          <w:color w:val="auto"/>
        </w:rPr>
      </w:pPr>
    </w:p>
    <w:p w14:paraId="1E5E606E">
      <w:pPr>
        <w:rPr>
          <w:rFonts w:hint="default" w:ascii="Times New Roman" w:hAnsi="Times New Roman" w:cs="Times New Roman"/>
          <w:color w:val="auto"/>
        </w:rPr>
      </w:pPr>
    </w:p>
    <w:p w14:paraId="0A5A9863">
      <w:pPr>
        <w:jc w:val="center"/>
        <w:rPr>
          <w:rFonts w:hint="eastAsia" w:ascii="黑体" w:hAnsi="黑体" w:eastAsia="黑体" w:cs="黑体"/>
          <w:b/>
          <w:color w:val="auto"/>
          <w:sz w:val="44"/>
          <w:szCs w:val="44"/>
          <w:highlight w:val="none"/>
        </w:rPr>
      </w:pPr>
      <w:r>
        <w:rPr>
          <w:rFonts w:hint="eastAsia" w:ascii="黑体" w:hAnsi="黑体" w:eastAsia="黑体" w:cs="黑体"/>
          <w:b/>
          <w:color w:val="auto"/>
          <w:sz w:val="44"/>
          <w:szCs w:val="44"/>
          <w:highlight w:val="none"/>
          <w:lang w:val="en-US" w:eastAsia="zh-CN"/>
        </w:rPr>
        <w:t>西安市灞桥区</w:t>
      </w:r>
      <w:r>
        <w:rPr>
          <w:rFonts w:hint="eastAsia" w:ascii="黑体" w:hAnsi="黑体" w:eastAsia="黑体" w:cs="黑体"/>
          <w:b/>
          <w:color w:val="auto"/>
          <w:sz w:val="44"/>
          <w:szCs w:val="44"/>
          <w:highlight w:val="none"/>
        </w:rPr>
        <w:t>人民政府</w:t>
      </w:r>
    </w:p>
    <w:p w14:paraId="29C7F764">
      <w:pPr>
        <w:jc w:val="center"/>
        <w:rPr>
          <w:rFonts w:hint="default" w:ascii="Times New Roman" w:hAnsi="Times New Roman" w:cs="Times New Roman"/>
          <w:b/>
          <w:color w:val="auto"/>
          <w:sz w:val="44"/>
          <w:szCs w:val="44"/>
        </w:rPr>
      </w:pPr>
      <w:r>
        <w:rPr>
          <w:rFonts w:hint="eastAsia" w:ascii="黑体" w:hAnsi="黑体" w:eastAsia="黑体" w:cs="黑体"/>
          <w:b/>
          <w:color w:val="auto"/>
          <w:sz w:val="44"/>
          <w:szCs w:val="44"/>
          <w:lang w:eastAsia="zh-CN"/>
        </w:rPr>
        <w:t>二〇二</w:t>
      </w:r>
      <w:r>
        <w:rPr>
          <w:rFonts w:hint="eastAsia" w:ascii="黑体" w:hAnsi="黑体" w:eastAsia="黑体" w:cs="黑体"/>
          <w:b/>
          <w:color w:val="auto"/>
          <w:sz w:val="44"/>
          <w:szCs w:val="44"/>
          <w:lang w:val="en-US" w:eastAsia="zh-CN"/>
        </w:rPr>
        <w:t>二</w:t>
      </w:r>
      <w:r>
        <w:rPr>
          <w:rFonts w:hint="eastAsia" w:ascii="黑体" w:hAnsi="黑体" w:eastAsia="黑体" w:cs="黑体"/>
          <w:b/>
          <w:color w:val="auto"/>
          <w:sz w:val="44"/>
          <w:szCs w:val="44"/>
        </w:rPr>
        <w:t>年</w:t>
      </w:r>
      <w:r>
        <w:rPr>
          <w:rFonts w:hint="eastAsia" w:ascii="黑体" w:hAnsi="黑体" w:eastAsia="黑体" w:cs="黑体"/>
          <w:b/>
          <w:color w:val="auto"/>
          <w:sz w:val="44"/>
          <w:szCs w:val="44"/>
          <w:lang w:val="en-US" w:eastAsia="zh-CN"/>
        </w:rPr>
        <w:t>十</w:t>
      </w:r>
      <w:r>
        <w:rPr>
          <w:rFonts w:hint="eastAsia" w:ascii="黑体" w:hAnsi="黑体" w:eastAsia="黑体" w:cs="黑体"/>
          <w:b/>
          <w:color w:val="auto"/>
          <w:sz w:val="44"/>
          <w:szCs w:val="44"/>
        </w:rPr>
        <w:t>月</w:t>
      </w:r>
    </w:p>
    <w:p w14:paraId="281F6652">
      <w:pPr>
        <w:rPr>
          <w:rFonts w:hint="default" w:ascii="Times New Roman" w:hAnsi="Times New Roman" w:cs="Times New Roman"/>
          <w:color w:val="auto"/>
        </w:rPr>
      </w:pPr>
    </w:p>
    <w:p w14:paraId="2DF9BF65">
      <w:pPr>
        <w:rPr>
          <w:rFonts w:hint="default" w:ascii="Times New Roman" w:hAnsi="Times New Roman" w:cs="Times New Roman"/>
          <w:color w:val="auto"/>
        </w:rPr>
      </w:pPr>
    </w:p>
    <w:p w14:paraId="2D51C451">
      <w:pPr>
        <w:rPr>
          <w:rFonts w:hint="default" w:ascii="Times New Roman" w:hAnsi="Times New Roman" w:cs="Times New Roman"/>
          <w:color w:val="auto"/>
        </w:rPr>
        <w:sectPr>
          <w:footerReference r:id="rId3" w:type="even"/>
          <w:pgSz w:w="11906" w:h="16838"/>
          <w:pgMar w:top="1440" w:right="1800" w:bottom="1440" w:left="1800" w:header="851" w:footer="992" w:gutter="0"/>
          <w:pgNumType w:start="0"/>
          <w:cols w:space="720" w:num="1"/>
          <w:docGrid w:type="lines" w:linePitch="312" w:charSpace="0"/>
        </w:sectPr>
      </w:pPr>
    </w:p>
    <w:sdt>
      <w:sdtPr>
        <w:rPr>
          <w:rFonts w:hint="default" w:ascii="Times New Roman" w:hAnsi="Times New Roman" w:cs="Times New Roman"/>
          <w:color w:val="auto"/>
          <w:lang w:val="en-US" w:eastAsia="zh-CN"/>
        </w:rPr>
        <w:id w:val="147480724"/>
        <w15:color w:val="DBDBDB"/>
        <w:docPartObj>
          <w:docPartGallery w:val="Table of Contents"/>
          <w:docPartUnique/>
        </w:docPartObj>
      </w:sdtPr>
      <w:sdtEndPr>
        <w:rPr>
          <w:rFonts w:hint="default" w:ascii="Times New Roman" w:hAnsi="Times New Roman" w:eastAsia="宋体" w:cs="Times New Roman"/>
          <w:color w:val="auto"/>
          <w:kern w:val="2"/>
          <w:sz w:val="21"/>
          <w:szCs w:val="22"/>
          <w:lang w:val="en-US" w:eastAsia="zh-CN" w:bidi="ar-SA"/>
        </w:rPr>
      </w:sdtEndPr>
      <w:sdtContent>
        <w:p w14:paraId="6922A4AE">
          <w:pPr>
            <w:pStyle w:val="2"/>
            <w:bidi w:val="0"/>
            <w:spacing w:line="360" w:lineRule="auto"/>
            <w:rPr>
              <w:rFonts w:hint="default" w:ascii="Times New Roman" w:hAnsi="Times New Roman" w:cs="Times New Roman"/>
              <w:color w:val="auto"/>
              <w:sz w:val="24"/>
              <w:szCs w:val="24"/>
            </w:rPr>
          </w:pPr>
          <w:bookmarkStart w:id="0" w:name="_Toc3212"/>
          <w:bookmarkStart w:id="1" w:name="_Toc26189"/>
          <w:r>
            <w:rPr>
              <w:rFonts w:hint="default" w:ascii="Times New Roman" w:hAnsi="Times New Roman" w:cs="Times New Roman"/>
              <w:color w:val="auto"/>
            </w:rPr>
            <w:t>目</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录</w:t>
          </w:r>
          <w:bookmarkEnd w:id="0"/>
          <w:bookmarkEnd w:id="1"/>
        </w:p>
        <w:p w14:paraId="77ECD393">
          <w:pPr>
            <w:pStyle w:val="16"/>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TOC \o "1-2" \h \u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_Toc5298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44"/>
              <w:sz w:val="24"/>
              <w:szCs w:val="24"/>
              <w:lang w:val="en-US" w:eastAsia="zh-CN" w:bidi="ar-SA"/>
            </w:rPr>
            <w:t>一、总论</w:t>
          </w:r>
          <w:r>
            <w:rPr>
              <w:color w:val="auto"/>
              <w:sz w:val="24"/>
              <w:szCs w:val="24"/>
            </w:rPr>
            <w:tab/>
          </w:r>
          <w:r>
            <w:rPr>
              <w:color w:val="auto"/>
              <w:sz w:val="24"/>
              <w:szCs w:val="24"/>
            </w:rPr>
            <w:fldChar w:fldCharType="begin"/>
          </w:r>
          <w:r>
            <w:rPr>
              <w:color w:val="auto"/>
              <w:sz w:val="24"/>
              <w:szCs w:val="24"/>
            </w:rPr>
            <w:instrText xml:space="preserve"> PAGEREF _Toc5298 \h </w:instrText>
          </w:r>
          <w:r>
            <w:rPr>
              <w:color w:val="auto"/>
              <w:sz w:val="24"/>
              <w:szCs w:val="24"/>
            </w:rPr>
            <w:fldChar w:fldCharType="separate"/>
          </w:r>
          <w:r>
            <w:rPr>
              <w:color w:val="auto"/>
              <w:sz w:val="24"/>
              <w:szCs w:val="24"/>
            </w:rPr>
            <w:t>1</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18FBC062">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_Toc8449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val="en-US"/>
            </w:rPr>
            <w:t>1.1</w:t>
          </w:r>
          <w:r>
            <w:rPr>
              <w:rFonts w:hint="default" w:ascii="Times New Roman" w:hAnsi="Times New Roman" w:eastAsia="宋体" w:cs="Times New Roman"/>
              <w:color w:val="auto"/>
              <w:sz w:val="24"/>
              <w:szCs w:val="24"/>
              <w:lang w:eastAsia="zh-CN"/>
            </w:rPr>
            <w:t>划分的必要性</w:t>
          </w:r>
          <w:r>
            <w:rPr>
              <w:color w:val="auto"/>
              <w:sz w:val="24"/>
              <w:szCs w:val="24"/>
            </w:rPr>
            <w:tab/>
          </w:r>
          <w:r>
            <w:rPr>
              <w:color w:val="auto"/>
              <w:sz w:val="24"/>
              <w:szCs w:val="24"/>
            </w:rPr>
            <w:fldChar w:fldCharType="begin"/>
          </w:r>
          <w:r>
            <w:rPr>
              <w:color w:val="auto"/>
              <w:sz w:val="24"/>
              <w:szCs w:val="24"/>
            </w:rPr>
            <w:instrText xml:space="preserve"> PAGEREF _Toc8449 \h </w:instrText>
          </w:r>
          <w:r>
            <w:rPr>
              <w:color w:val="auto"/>
              <w:sz w:val="24"/>
              <w:szCs w:val="24"/>
            </w:rPr>
            <w:fldChar w:fldCharType="separate"/>
          </w:r>
          <w:r>
            <w:rPr>
              <w:color w:val="auto"/>
              <w:sz w:val="24"/>
              <w:szCs w:val="24"/>
            </w:rPr>
            <w:t>1</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2E18A3AD">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_Toc31675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val="en-US"/>
            </w:rPr>
            <w:t xml:space="preserve">1.2 </w:t>
          </w:r>
          <w:r>
            <w:rPr>
              <w:rFonts w:hint="default" w:ascii="Times New Roman" w:hAnsi="Times New Roman" w:cs="Times New Roman"/>
              <w:color w:val="auto"/>
              <w:sz w:val="24"/>
              <w:szCs w:val="24"/>
              <w:lang w:val="en-US" w:eastAsia="zh-CN"/>
            </w:rPr>
            <w:t>划分依据</w:t>
          </w:r>
          <w:r>
            <w:rPr>
              <w:color w:val="auto"/>
              <w:sz w:val="24"/>
              <w:szCs w:val="24"/>
            </w:rPr>
            <w:tab/>
          </w:r>
          <w:r>
            <w:rPr>
              <w:color w:val="auto"/>
              <w:sz w:val="24"/>
              <w:szCs w:val="24"/>
            </w:rPr>
            <w:fldChar w:fldCharType="begin"/>
          </w:r>
          <w:r>
            <w:rPr>
              <w:color w:val="auto"/>
              <w:sz w:val="24"/>
              <w:szCs w:val="24"/>
            </w:rPr>
            <w:instrText xml:space="preserve"> PAGEREF _Toc31675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1B2A02A6">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_Toc25286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val="en-US"/>
            </w:rPr>
            <w:t>1.</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rPr>
            <w:t xml:space="preserve"> </w:t>
          </w:r>
          <w:r>
            <w:rPr>
              <w:rFonts w:hint="default" w:ascii="Times New Roman" w:hAnsi="Times New Roman" w:eastAsia="宋体" w:cs="Times New Roman"/>
              <w:color w:val="auto"/>
              <w:sz w:val="24"/>
              <w:szCs w:val="24"/>
              <w:lang w:eastAsia="zh-CN"/>
            </w:rPr>
            <w:t>技术路线</w:t>
          </w:r>
          <w:r>
            <w:rPr>
              <w:color w:val="auto"/>
              <w:sz w:val="24"/>
              <w:szCs w:val="24"/>
            </w:rPr>
            <w:tab/>
          </w:r>
          <w:r>
            <w:rPr>
              <w:color w:val="auto"/>
              <w:sz w:val="24"/>
              <w:szCs w:val="24"/>
            </w:rPr>
            <w:fldChar w:fldCharType="begin"/>
          </w:r>
          <w:r>
            <w:rPr>
              <w:color w:val="auto"/>
              <w:sz w:val="24"/>
              <w:szCs w:val="24"/>
            </w:rPr>
            <w:instrText xml:space="preserve"> PAGEREF _Toc25286 \h </w:instrText>
          </w:r>
          <w:r>
            <w:rPr>
              <w:color w:val="auto"/>
              <w:sz w:val="24"/>
              <w:szCs w:val="24"/>
            </w:rPr>
            <w:fldChar w:fldCharType="separate"/>
          </w:r>
          <w:r>
            <w:rPr>
              <w:color w:val="auto"/>
              <w:sz w:val="24"/>
              <w:szCs w:val="24"/>
            </w:rPr>
            <w:t>5</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440081DE">
          <w:pPr>
            <w:pStyle w:val="16"/>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_Toc9579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44"/>
              <w:sz w:val="24"/>
              <w:szCs w:val="24"/>
              <w:lang w:val="en-US" w:eastAsia="zh-CN" w:bidi="ar-SA"/>
            </w:rPr>
            <w:t>二、饮用水水源保护区基础环境状况</w:t>
          </w:r>
          <w:r>
            <w:rPr>
              <w:color w:val="auto"/>
              <w:sz w:val="24"/>
              <w:szCs w:val="24"/>
            </w:rPr>
            <w:tab/>
          </w:r>
          <w:r>
            <w:rPr>
              <w:color w:val="auto"/>
              <w:sz w:val="24"/>
              <w:szCs w:val="24"/>
            </w:rPr>
            <w:fldChar w:fldCharType="begin"/>
          </w:r>
          <w:r>
            <w:rPr>
              <w:color w:val="auto"/>
              <w:sz w:val="24"/>
              <w:szCs w:val="24"/>
            </w:rPr>
            <w:instrText xml:space="preserve"> PAGEREF _Toc9579 \h </w:instrText>
          </w:r>
          <w:r>
            <w:rPr>
              <w:color w:val="auto"/>
              <w:sz w:val="24"/>
              <w:szCs w:val="24"/>
            </w:rPr>
            <w:fldChar w:fldCharType="separate"/>
          </w:r>
          <w:r>
            <w:rPr>
              <w:color w:val="auto"/>
              <w:sz w:val="24"/>
              <w:szCs w:val="24"/>
            </w:rPr>
            <w:t>7</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6B06B4E3">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_Toc7642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rPr>
            <w:t xml:space="preserve">2.1 </w:t>
          </w:r>
          <w:r>
            <w:rPr>
              <w:rFonts w:hint="default" w:ascii="Times New Roman" w:hAnsi="Times New Roman" w:eastAsia="宋体" w:cs="Times New Roman"/>
              <w:color w:val="auto"/>
              <w:sz w:val="24"/>
              <w:szCs w:val="24"/>
            </w:rPr>
            <w:t>饮用水水源地所在区域的自然状况</w:t>
          </w:r>
          <w:r>
            <w:rPr>
              <w:color w:val="auto"/>
              <w:sz w:val="24"/>
              <w:szCs w:val="24"/>
            </w:rPr>
            <w:tab/>
          </w:r>
          <w:r>
            <w:rPr>
              <w:color w:val="auto"/>
              <w:sz w:val="24"/>
              <w:szCs w:val="24"/>
            </w:rPr>
            <w:fldChar w:fldCharType="begin"/>
          </w:r>
          <w:r>
            <w:rPr>
              <w:color w:val="auto"/>
              <w:sz w:val="24"/>
              <w:szCs w:val="24"/>
            </w:rPr>
            <w:instrText xml:space="preserve"> PAGEREF _Toc7642 \h </w:instrText>
          </w:r>
          <w:r>
            <w:rPr>
              <w:color w:val="auto"/>
              <w:sz w:val="24"/>
              <w:szCs w:val="24"/>
            </w:rPr>
            <w:fldChar w:fldCharType="separate"/>
          </w:r>
          <w:r>
            <w:rPr>
              <w:color w:val="auto"/>
              <w:sz w:val="24"/>
              <w:szCs w:val="24"/>
            </w:rPr>
            <w:t>7</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3CCAB4A5">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_Toc15463 </w:instrText>
          </w:r>
          <w:r>
            <w:rPr>
              <w:rFonts w:hint="default" w:ascii="Times New Roman" w:hAnsi="Times New Roman" w:cs="Times New Roman"/>
              <w:color w:val="auto"/>
              <w:sz w:val="24"/>
              <w:szCs w:val="24"/>
              <w:lang w:eastAsia="zh-CN"/>
            </w:rPr>
            <w:fldChar w:fldCharType="separate"/>
          </w:r>
          <w:r>
            <w:rPr>
              <w:rFonts w:hint="eastAsia" w:ascii="Times New Roman" w:hAnsi="Times New Roman" w:cs="Times New Roman"/>
              <w:bCs/>
              <w:color w:val="auto"/>
              <w:sz w:val="24"/>
              <w:szCs w:val="24"/>
              <w:highlight w:val="none"/>
              <w:lang w:val="en-US" w:eastAsia="zh-CN"/>
            </w:rPr>
            <w:t>2.2饮用水源地所在区域或流域的社会经济状况</w:t>
          </w:r>
          <w:r>
            <w:rPr>
              <w:color w:val="auto"/>
              <w:sz w:val="24"/>
              <w:szCs w:val="24"/>
            </w:rPr>
            <w:tab/>
          </w:r>
          <w:r>
            <w:rPr>
              <w:color w:val="auto"/>
              <w:sz w:val="24"/>
              <w:szCs w:val="24"/>
            </w:rPr>
            <w:fldChar w:fldCharType="begin"/>
          </w:r>
          <w:r>
            <w:rPr>
              <w:color w:val="auto"/>
              <w:sz w:val="24"/>
              <w:szCs w:val="24"/>
            </w:rPr>
            <w:instrText xml:space="preserve"> PAGEREF _Toc15463 \h </w:instrText>
          </w:r>
          <w:r>
            <w:rPr>
              <w:color w:val="auto"/>
              <w:sz w:val="24"/>
              <w:szCs w:val="24"/>
            </w:rPr>
            <w:fldChar w:fldCharType="separate"/>
          </w:r>
          <w:r>
            <w:rPr>
              <w:color w:val="auto"/>
              <w:sz w:val="24"/>
              <w:szCs w:val="24"/>
            </w:rPr>
            <w:t>16</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7F322D98">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_Toc11880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bCs/>
              <w:color w:val="auto"/>
              <w:sz w:val="24"/>
              <w:szCs w:val="24"/>
              <w:highlight w:val="none"/>
            </w:rPr>
            <w:t>2.3饮用水水源</w:t>
          </w:r>
          <w:r>
            <w:rPr>
              <w:rFonts w:hint="eastAsia" w:cs="Times New Roman"/>
              <w:bCs/>
              <w:color w:val="auto"/>
              <w:sz w:val="24"/>
              <w:szCs w:val="24"/>
              <w:highlight w:val="none"/>
              <w:lang w:val="en-US" w:eastAsia="zh-CN"/>
            </w:rPr>
            <w:t>地周边城乡土地利用现状及规划情况</w:t>
          </w:r>
          <w:r>
            <w:rPr>
              <w:color w:val="auto"/>
              <w:sz w:val="24"/>
              <w:szCs w:val="24"/>
            </w:rPr>
            <w:tab/>
          </w:r>
          <w:r>
            <w:rPr>
              <w:color w:val="auto"/>
              <w:sz w:val="24"/>
              <w:szCs w:val="24"/>
            </w:rPr>
            <w:fldChar w:fldCharType="begin"/>
          </w:r>
          <w:r>
            <w:rPr>
              <w:color w:val="auto"/>
              <w:sz w:val="24"/>
              <w:szCs w:val="24"/>
            </w:rPr>
            <w:instrText xml:space="preserve"> PAGEREF _Toc11880 \h </w:instrText>
          </w:r>
          <w:r>
            <w:rPr>
              <w:color w:val="auto"/>
              <w:sz w:val="24"/>
              <w:szCs w:val="24"/>
            </w:rPr>
            <w:fldChar w:fldCharType="separate"/>
          </w:r>
          <w:r>
            <w:rPr>
              <w:color w:val="auto"/>
              <w:sz w:val="24"/>
              <w:szCs w:val="24"/>
            </w:rPr>
            <w:t>16</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786F66CB">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_Toc32728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bCs/>
              <w:color w:val="auto"/>
              <w:sz w:val="24"/>
              <w:szCs w:val="24"/>
              <w:highlight w:val="none"/>
            </w:rPr>
            <w:t>2.</w:t>
          </w:r>
          <w:r>
            <w:rPr>
              <w:rFonts w:hint="eastAsia" w:cs="Times New Roman"/>
              <w:bCs/>
              <w:color w:val="auto"/>
              <w:sz w:val="24"/>
              <w:szCs w:val="24"/>
              <w:highlight w:val="none"/>
              <w:lang w:val="en-US" w:eastAsia="zh-CN"/>
            </w:rPr>
            <w:t>4饮用水水源地规划、重要生态功能区划等情况</w:t>
          </w:r>
          <w:r>
            <w:rPr>
              <w:color w:val="auto"/>
              <w:sz w:val="24"/>
              <w:szCs w:val="24"/>
            </w:rPr>
            <w:tab/>
          </w:r>
          <w:r>
            <w:rPr>
              <w:color w:val="auto"/>
              <w:sz w:val="24"/>
              <w:szCs w:val="24"/>
            </w:rPr>
            <w:fldChar w:fldCharType="begin"/>
          </w:r>
          <w:r>
            <w:rPr>
              <w:color w:val="auto"/>
              <w:sz w:val="24"/>
              <w:szCs w:val="24"/>
            </w:rPr>
            <w:instrText xml:space="preserve"> PAGEREF _Toc32728 \h </w:instrText>
          </w:r>
          <w:r>
            <w:rPr>
              <w:color w:val="auto"/>
              <w:sz w:val="24"/>
              <w:szCs w:val="24"/>
            </w:rPr>
            <w:fldChar w:fldCharType="separate"/>
          </w:r>
          <w:r>
            <w:rPr>
              <w:color w:val="auto"/>
              <w:sz w:val="24"/>
              <w:szCs w:val="24"/>
            </w:rPr>
            <w:t>17</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42ECDE61">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_Toc9182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bCs/>
              <w:color w:val="auto"/>
              <w:sz w:val="24"/>
              <w:szCs w:val="24"/>
              <w:highlight w:val="none"/>
            </w:rPr>
            <w:t>2.</w:t>
          </w:r>
          <w:r>
            <w:rPr>
              <w:rFonts w:hint="eastAsia" w:cs="Times New Roman"/>
              <w:bCs/>
              <w:color w:val="auto"/>
              <w:sz w:val="24"/>
              <w:szCs w:val="24"/>
              <w:highlight w:val="none"/>
              <w:lang w:val="en-US" w:eastAsia="zh-CN"/>
            </w:rPr>
            <w:t>5</w:t>
          </w:r>
          <w:r>
            <w:rPr>
              <w:rFonts w:hint="default" w:ascii="Times New Roman" w:hAnsi="Times New Roman" w:cs="Times New Roman"/>
              <w:bCs/>
              <w:color w:val="auto"/>
              <w:sz w:val="24"/>
              <w:szCs w:val="24"/>
              <w:highlight w:val="none"/>
            </w:rPr>
            <w:t>饮用水水源</w:t>
          </w:r>
          <w:r>
            <w:rPr>
              <w:rFonts w:hint="default" w:ascii="Times New Roman" w:hAnsi="Times New Roman" w:cs="Times New Roman"/>
              <w:bCs/>
              <w:color w:val="auto"/>
              <w:sz w:val="24"/>
              <w:szCs w:val="24"/>
              <w:highlight w:val="none"/>
              <w:lang w:val="en-US" w:eastAsia="zh-CN"/>
            </w:rPr>
            <w:t>地基础状况</w:t>
          </w:r>
          <w:r>
            <w:rPr>
              <w:color w:val="auto"/>
              <w:sz w:val="24"/>
              <w:szCs w:val="24"/>
            </w:rPr>
            <w:tab/>
          </w:r>
          <w:r>
            <w:rPr>
              <w:color w:val="auto"/>
              <w:sz w:val="24"/>
              <w:szCs w:val="24"/>
            </w:rPr>
            <w:fldChar w:fldCharType="begin"/>
          </w:r>
          <w:r>
            <w:rPr>
              <w:color w:val="auto"/>
              <w:sz w:val="24"/>
              <w:szCs w:val="24"/>
            </w:rPr>
            <w:instrText xml:space="preserve"> PAGEREF _Toc9182 \h </w:instrText>
          </w:r>
          <w:r>
            <w:rPr>
              <w:color w:val="auto"/>
              <w:sz w:val="24"/>
              <w:szCs w:val="24"/>
            </w:rPr>
            <w:fldChar w:fldCharType="separate"/>
          </w:r>
          <w:r>
            <w:rPr>
              <w:color w:val="auto"/>
              <w:sz w:val="24"/>
              <w:szCs w:val="24"/>
            </w:rPr>
            <w:t>18</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3F7E95C3">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_Toc702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6</w:t>
          </w:r>
          <w:r>
            <w:rPr>
              <w:rFonts w:hint="default" w:ascii="Times New Roman" w:hAnsi="Times New Roman" w:cs="Times New Roman"/>
              <w:color w:val="auto"/>
              <w:sz w:val="24"/>
              <w:szCs w:val="24"/>
            </w:rPr>
            <w:t xml:space="preserve"> 饮用水水源</w:t>
          </w:r>
          <w:r>
            <w:rPr>
              <w:rFonts w:hint="default" w:ascii="Times New Roman" w:hAnsi="Times New Roman" w:cs="Times New Roman"/>
              <w:color w:val="auto"/>
              <w:sz w:val="24"/>
              <w:szCs w:val="24"/>
              <w:lang w:val="en-US" w:eastAsia="zh-CN"/>
            </w:rPr>
            <w:t>地的</w:t>
          </w:r>
          <w:r>
            <w:rPr>
              <w:rFonts w:hint="default" w:ascii="Times New Roman" w:hAnsi="Times New Roman" w:cs="Times New Roman"/>
              <w:color w:val="auto"/>
              <w:sz w:val="24"/>
              <w:szCs w:val="24"/>
            </w:rPr>
            <w:t>水质</w:t>
          </w:r>
          <w:r>
            <w:rPr>
              <w:rFonts w:hint="default" w:ascii="Times New Roman" w:hAnsi="Times New Roman" w:cs="Times New Roman"/>
              <w:color w:val="auto"/>
              <w:sz w:val="24"/>
              <w:szCs w:val="24"/>
              <w:lang w:val="en-US" w:eastAsia="zh-CN"/>
            </w:rPr>
            <w:t>状况调查评价</w:t>
          </w:r>
          <w:r>
            <w:rPr>
              <w:color w:val="auto"/>
              <w:sz w:val="24"/>
              <w:szCs w:val="24"/>
            </w:rPr>
            <w:tab/>
          </w:r>
          <w:r>
            <w:rPr>
              <w:color w:val="auto"/>
              <w:sz w:val="24"/>
              <w:szCs w:val="24"/>
            </w:rPr>
            <w:fldChar w:fldCharType="begin"/>
          </w:r>
          <w:r>
            <w:rPr>
              <w:color w:val="auto"/>
              <w:sz w:val="24"/>
              <w:szCs w:val="24"/>
            </w:rPr>
            <w:instrText xml:space="preserve"> PAGEREF _Toc702 \h </w:instrText>
          </w:r>
          <w:r>
            <w:rPr>
              <w:color w:val="auto"/>
              <w:sz w:val="24"/>
              <w:szCs w:val="24"/>
            </w:rPr>
            <w:fldChar w:fldCharType="separate"/>
          </w:r>
          <w:r>
            <w:rPr>
              <w:color w:val="auto"/>
              <w:sz w:val="24"/>
              <w:szCs w:val="24"/>
            </w:rPr>
            <w:t>23</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6475635A">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_Toc2422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 xml:space="preserve"> 饮用水</w:t>
          </w:r>
          <w:r>
            <w:rPr>
              <w:rFonts w:hint="default" w:ascii="Times New Roman" w:hAnsi="Times New Roman" w:cs="Times New Roman"/>
              <w:color w:val="auto"/>
              <w:sz w:val="24"/>
              <w:szCs w:val="24"/>
              <w:lang w:val="en-US" w:eastAsia="zh-CN"/>
            </w:rPr>
            <w:t>水</w:t>
          </w:r>
          <w:r>
            <w:rPr>
              <w:rFonts w:hint="default" w:ascii="Times New Roman" w:hAnsi="Times New Roman" w:eastAsia="宋体" w:cs="Times New Roman"/>
              <w:color w:val="auto"/>
              <w:sz w:val="24"/>
              <w:szCs w:val="24"/>
            </w:rPr>
            <w:t>源</w:t>
          </w:r>
          <w:r>
            <w:rPr>
              <w:rFonts w:hint="default" w:ascii="Times New Roman" w:hAnsi="Times New Roman" w:cs="Times New Roman"/>
              <w:color w:val="auto"/>
              <w:sz w:val="24"/>
              <w:szCs w:val="24"/>
              <w:lang w:val="en-US" w:eastAsia="zh-CN"/>
            </w:rPr>
            <w:t>地</w:t>
          </w:r>
          <w:r>
            <w:rPr>
              <w:rFonts w:hint="default" w:ascii="Times New Roman" w:hAnsi="Times New Roman" w:eastAsia="宋体" w:cs="Times New Roman"/>
              <w:color w:val="auto"/>
              <w:sz w:val="24"/>
              <w:szCs w:val="24"/>
            </w:rPr>
            <w:t>周边</w:t>
          </w:r>
          <w:r>
            <w:rPr>
              <w:rFonts w:hint="default" w:ascii="Times New Roman" w:hAnsi="Times New Roman" w:cs="Times New Roman"/>
              <w:color w:val="auto"/>
              <w:sz w:val="24"/>
              <w:szCs w:val="24"/>
              <w:lang w:val="en-US" w:eastAsia="zh-CN"/>
            </w:rPr>
            <w:t>污染源调查</w:t>
          </w:r>
          <w:r>
            <w:rPr>
              <w:color w:val="auto"/>
              <w:sz w:val="24"/>
              <w:szCs w:val="24"/>
            </w:rPr>
            <w:tab/>
          </w:r>
          <w:r>
            <w:rPr>
              <w:color w:val="auto"/>
              <w:sz w:val="24"/>
              <w:szCs w:val="24"/>
            </w:rPr>
            <w:fldChar w:fldCharType="begin"/>
          </w:r>
          <w:r>
            <w:rPr>
              <w:color w:val="auto"/>
              <w:sz w:val="24"/>
              <w:szCs w:val="24"/>
            </w:rPr>
            <w:instrText xml:space="preserve"> PAGEREF _Toc2422 \h </w:instrText>
          </w:r>
          <w:r>
            <w:rPr>
              <w:color w:val="auto"/>
              <w:sz w:val="24"/>
              <w:szCs w:val="24"/>
            </w:rPr>
            <w:fldChar w:fldCharType="separate"/>
          </w:r>
          <w:r>
            <w:rPr>
              <w:color w:val="auto"/>
              <w:sz w:val="24"/>
              <w:szCs w:val="24"/>
            </w:rPr>
            <w:t>24</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00D3E20F">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_Toc16059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rPr>
            <w:t xml:space="preserve"> 饮用水</w:t>
          </w:r>
          <w:r>
            <w:rPr>
              <w:rFonts w:hint="default" w:ascii="Times New Roman" w:hAnsi="Times New Roman" w:cs="Times New Roman"/>
              <w:color w:val="auto"/>
              <w:sz w:val="24"/>
              <w:szCs w:val="24"/>
              <w:lang w:val="en-US" w:eastAsia="zh-CN"/>
            </w:rPr>
            <w:t>水</w:t>
          </w:r>
          <w:r>
            <w:rPr>
              <w:rFonts w:hint="default" w:ascii="Times New Roman" w:hAnsi="Times New Roman" w:eastAsia="宋体" w:cs="Times New Roman"/>
              <w:color w:val="auto"/>
              <w:sz w:val="24"/>
              <w:szCs w:val="24"/>
            </w:rPr>
            <w:t>源</w:t>
          </w:r>
          <w:r>
            <w:rPr>
              <w:rFonts w:hint="default" w:ascii="Times New Roman" w:hAnsi="Times New Roman" w:cs="Times New Roman"/>
              <w:color w:val="auto"/>
              <w:sz w:val="24"/>
              <w:szCs w:val="24"/>
              <w:lang w:val="en-US" w:eastAsia="zh-CN"/>
            </w:rPr>
            <w:t>地水环境风险分析</w:t>
          </w:r>
          <w:r>
            <w:rPr>
              <w:color w:val="auto"/>
              <w:sz w:val="24"/>
              <w:szCs w:val="24"/>
            </w:rPr>
            <w:tab/>
          </w:r>
          <w:r>
            <w:rPr>
              <w:color w:val="auto"/>
              <w:sz w:val="24"/>
              <w:szCs w:val="24"/>
            </w:rPr>
            <w:fldChar w:fldCharType="begin"/>
          </w:r>
          <w:r>
            <w:rPr>
              <w:color w:val="auto"/>
              <w:sz w:val="24"/>
              <w:szCs w:val="24"/>
            </w:rPr>
            <w:instrText xml:space="preserve"> PAGEREF _Toc16059 \h </w:instrText>
          </w:r>
          <w:r>
            <w:rPr>
              <w:color w:val="auto"/>
              <w:sz w:val="24"/>
              <w:szCs w:val="24"/>
            </w:rPr>
            <w:fldChar w:fldCharType="separate"/>
          </w:r>
          <w:r>
            <w:rPr>
              <w:color w:val="auto"/>
              <w:sz w:val="24"/>
              <w:szCs w:val="24"/>
            </w:rPr>
            <w:t>29</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6C0AFC03">
          <w:pPr>
            <w:pStyle w:val="16"/>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_Toc26707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44"/>
              <w:sz w:val="24"/>
              <w:szCs w:val="24"/>
              <w:lang w:val="en-US" w:eastAsia="zh-CN" w:bidi="ar-SA"/>
            </w:rPr>
            <w:t>三、集中式饮用水水源保护区划分</w:t>
          </w:r>
          <w:r>
            <w:rPr>
              <w:color w:val="auto"/>
              <w:sz w:val="24"/>
              <w:szCs w:val="24"/>
            </w:rPr>
            <w:tab/>
          </w:r>
          <w:r>
            <w:rPr>
              <w:color w:val="auto"/>
              <w:sz w:val="24"/>
              <w:szCs w:val="24"/>
            </w:rPr>
            <w:fldChar w:fldCharType="begin"/>
          </w:r>
          <w:r>
            <w:rPr>
              <w:color w:val="auto"/>
              <w:sz w:val="24"/>
              <w:szCs w:val="24"/>
            </w:rPr>
            <w:instrText xml:space="preserve"> PAGEREF _Toc26707 \h </w:instrText>
          </w:r>
          <w:r>
            <w:rPr>
              <w:color w:val="auto"/>
              <w:sz w:val="24"/>
              <w:szCs w:val="24"/>
            </w:rPr>
            <w:fldChar w:fldCharType="separate"/>
          </w:r>
          <w:r>
            <w:rPr>
              <w:color w:val="auto"/>
              <w:sz w:val="24"/>
              <w:szCs w:val="24"/>
            </w:rPr>
            <w:t>30</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469E9635">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_Toc24133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color w:val="auto"/>
              <w:sz w:val="24"/>
              <w:szCs w:val="24"/>
            </w:rPr>
            <w:t>3.1饮用水水源保护区划分技术方法</w:t>
          </w:r>
          <w:r>
            <w:rPr>
              <w:color w:val="auto"/>
              <w:sz w:val="24"/>
              <w:szCs w:val="24"/>
            </w:rPr>
            <w:tab/>
          </w:r>
          <w:r>
            <w:rPr>
              <w:color w:val="auto"/>
              <w:sz w:val="24"/>
              <w:szCs w:val="24"/>
            </w:rPr>
            <w:fldChar w:fldCharType="begin"/>
          </w:r>
          <w:r>
            <w:rPr>
              <w:color w:val="auto"/>
              <w:sz w:val="24"/>
              <w:szCs w:val="24"/>
            </w:rPr>
            <w:instrText xml:space="preserve"> PAGEREF _Toc24133 \h </w:instrText>
          </w:r>
          <w:r>
            <w:rPr>
              <w:color w:val="auto"/>
              <w:sz w:val="24"/>
              <w:szCs w:val="24"/>
            </w:rPr>
            <w:fldChar w:fldCharType="separate"/>
          </w:r>
          <w:r>
            <w:rPr>
              <w:color w:val="auto"/>
              <w:sz w:val="24"/>
              <w:szCs w:val="24"/>
            </w:rPr>
            <w:t>30</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162AB499">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_Toc30575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color w:val="auto"/>
              <w:sz w:val="24"/>
              <w:szCs w:val="24"/>
            </w:rPr>
            <w:t>3.2初步划分结果及分析</w:t>
          </w:r>
          <w:r>
            <w:rPr>
              <w:color w:val="auto"/>
              <w:sz w:val="24"/>
              <w:szCs w:val="24"/>
            </w:rPr>
            <w:tab/>
          </w:r>
          <w:r>
            <w:rPr>
              <w:color w:val="auto"/>
              <w:sz w:val="24"/>
              <w:szCs w:val="24"/>
            </w:rPr>
            <w:fldChar w:fldCharType="begin"/>
          </w:r>
          <w:r>
            <w:rPr>
              <w:color w:val="auto"/>
              <w:sz w:val="24"/>
              <w:szCs w:val="24"/>
            </w:rPr>
            <w:instrText xml:space="preserve"> PAGEREF _Toc30575 \h </w:instrText>
          </w:r>
          <w:r>
            <w:rPr>
              <w:color w:val="auto"/>
              <w:sz w:val="24"/>
              <w:szCs w:val="24"/>
            </w:rPr>
            <w:fldChar w:fldCharType="separate"/>
          </w:r>
          <w:r>
            <w:rPr>
              <w:color w:val="auto"/>
              <w:sz w:val="24"/>
              <w:szCs w:val="24"/>
            </w:rPr>
            <w:t>32</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2CA178EB">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_Toc356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3.3 保护区定界方案</w:t>
          </w:r>
          <w:r>
            <w:rPr>
              <w:color w:val="auto"/>
              <w:sz w:val="24"/>
              <w:szCs w:val="24"/>
            </w:rPr>
            <w:tab/>
          </w:r>
          <w:r>
            <w:rPr>
              <w:color w:val="auto"/>
              <w:sz w:val="24"/>
              <w:szCs w:val="24"/>
            </w:rPr>
            <w:fldChar w:fldCharType="begin"/>
          </w:r>
          <w:r>
            <w:rPr>
              <w:color w:val="auto"/>
              <w:sz w:val="24"/>
              <w:szCs w:val="24"/>
            </w:rPr>
            <w:instrText xml:space="preserve"> PAGEREF _Toc356 \h </w:instrText>
          </w:r>
          <w:r>
            <w:rPr>
              <w:color w:val="auto"/>
              <w:sz w:val="24"/>
              <w:szCs w:val="24"/>
            </w:rPr>
            <w:fldChar w:fldCharType="separate"/>
          </w:r>
          <w:r>
            <w:rPr>
              <w:color w:val="auto"/>
              <w:sz w:val="24"/>
              <w:szCs w:val="24"/>
            </w:rPr>
            <w:t>34</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54C9041D">
          <w:pPr>
            <w:pStyle w:val="16"/>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_Toc20442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44"/>
              <w:sz w:val="24"/>
              <w:szCs w:val="24"/>
              <w:lang w:val="en-US" w:eastAsia="zh-CN" w:bidi="ar-SA"/>
            </w:rPr>
            <w:t>四、饮用水水源保护区规范化建设与管理</w:t>
          </w:r>
          <w:r>
            <w:rPr>
              <w:rFonts w:hint="default" w:ascii="Times New Roman" w:hAnsi="Times New Roman" w:cs="Times New Roman"/>
              <w:bCs/>
              <w:color w:val="auto"/>
              <w:kern w:val="44"/>
              <w:sz w:val="24"/>
              <w:szCs w:val="24"/>
              <w:lang w:val="en-US" w:eastAsia="zh-CN" w:bidi="ar-SA"/>
            </w:rPr>
            <w:t>要求</w:t>
          </w:r>
          <w:r>
            <w:rPr>
              <w:color w:val="auto"/>
              <w:sz w:val="24"/>
              <w:szCs w:val="24"/>
            </w:rPr>
            <w:tab/>
          </w:r>
          <w:r>
            <w:rPr>
              <w:color w:val="auto"/>
              <w:sz w:val="24"/>
              <w:szCs w:val="24"/>
            </w:rPr>
            <w:fldChar w:fldCharType="begin"/>
          </w:r>
          <w:r>
            <w:rPr>
              <w:color w:val="auto"/>
              <w:sz w:val="24"/>
              <w:szCs w:val="24"/>
            </w:rPr>
            <w:instrText xml:space="preserve"> PAGEREF _Toc20442 \h </w:instrText>
          </w:r>
          <w:r>
            <w:rPr>
              <w:color w:val="auto"/>
              <w:sz w:val="24"/>
              <w:szCs w:val="24"/>
            </w:rPr>
            <w:fldChar w:fldCharType="separate"/>
          </w:r>
          <w:r>
            <w:rPr>
              <w:color w:val="auto"/>
              <w:sz w:val="24"/>
              <w:szCs w:val="24"/>
            </w:rPr>
            <w:t>36</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0EC04A43">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_Toc6503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4.1饮用水水源保护区的监督</w:t>
          </w:r>
          <w:r>
            <w:rPr>
              <w:color w:val="auto"/>
              <w:sz w:val="24"/>
              <w:szCs w:val="24"/>
            </w:rPr>
            <w:tab/>
          </w:r>
          <w:r>
            <w:rPr>
              <w:color w:val="auto"/>
              <w:sz w:val="24"/>
              <w:szCs w:val="24"/>
            </w:rPr>
            <w:fldChar w:fldCharType="begin"/>
          </w:r>
          <w:r>
            <w:rPr>
              <w:color w:val="auto"/>
              <w:sz w:val="24"/>
              <w:szCs w:val="24"/>
            </w:rPr>
            <w:instrText xml:space="preserve"> PAGEREF _Toc6503 \h </w:instrText>
          </w:r>
          <w:r>
            <w:rPr>
              <w:color w:val="auto"/>
              <w:sz w:val="24"/>
              <w:szCs w:val="24"/>
            </w:rPr>
            <w:fldChar w:fldCharType="separate"/>
          </w:r>
          <w:r>
            <w:rPr>
              <w:color w:val="auto"/>
              <w:sz w:val="24"/>
              <w:szCs w:val="24"/>
            </w:rPr>
            <w:t>36</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76E0856F">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_Toc28708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4.2饮用水水源保护区的监测</w:t>
          </w:r>
          <w:r>
            <w:rPr>
              <w:color w:val="auto"/>
              <w:sz w:val="24"/>
              <w:szCs w:val="24"/>
            </w:rPr>
            <w:tab/>
          </w:r>
          <w:r>
            <w:rPr>
              <w:color w:val="auto"/>
              <w:sz w:val="24"/>
              <w:szCs w:val="24"/>
            </w:rPr>
            <w:fldChar w:fldCharType="begin"/>
          </w:r>
          <w:r>
            <w:rPr>
              <w:color w:val="auto"/>
              <w:sz w:val="24"/>
              <w:szCs w:val="24"/>
            </w:rPr>
            <w:instrText xml:space="preserve"> PAGEREF _Toc28708 \h </w:instrText>
          </w:r>
          <w:r>
            <w:rPr>
              <w:color w:val="auto"/>
              <w:sz w:val="24"/>
              <w:szCs w:val="24"/>
            </w:rPr>
            <w:fldChar w:fldCharType="separate"/>
          </w:r>
          <w:r>
            <w:rPr>
              <w:color w:val="auto"/>
              <w:sz w:val="24"/>
              <w:szCs w:val="24"/>
            </w:rPr>
            <w:t>39</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21350867">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_Toc6962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4.3饮用水水源保护区的环境管理</w:t>
          </w:r>
          <w:r>
            <w:rPr>
              <w:color w:val="auto"/>
              <w:sz w:val="24"/>
              <w:szCs w:val="24"/>
            </w:rPr>
            <w:tab/>
          </w:r>
          <w:r>
            <w:rPr>
              <w:color w:val="auto"/>
              <w:sz w:val="24"/>
              <w:szCs w:val="24"/>
            </w:rPr>
            <w:fldChar w:fldCharType="begin"/>
          </w:r>
          <w:r>
            <w:rPr>
              <w:color w:val="auto"/>
              <w:sz w:val="24"/>
              <w:szCs w:val="24"/>
            </w:rPr>
            <w:instrText xml:space="preserve"> PAGEREF _Toc6962 \h </w:instrText>
          </w:r>
          <w:r>
            <w:rPr>
              <w:color w:val="auto"/>
              <w:sz w:val="24"/>
              <w:szCs w:val="24"/>
            </w:rPr>
            <w:fldChar w:fldCharType="separate"/>
          </w:r>
          <w:r>
            <w:rPr>
              <w:color w:val="auto"/>
              <w:sz w:val="24"/>
              <w:szCs w:val="24"/>
            </w:rPr>
            <w:t>40</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2E3797D4">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_Toc28647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4.4 其他措施要求与建议</w:t>
          </w:r>
          <w:r>
            <w:rPr>
              <w:color w:val="auto"/>
              <w:sz w:val="24"/>
              <w:szCs w:val="24"/>
            </w:rPr>
            <w:tab/>
          </w:r>
          <w:r>
            <w:rPr>
              <w:color w:val="auto"/>
              <w:sz w:val="24"/>
              <w:szCs w:val="24"/>
            </w:rPr>
            <w:fldChar w:fldCharType="begin"/>
          </w:r>
          <w:r>
            <w:rPr>
              <w:color w:val="auto"/>
              <w:sz w:val="24"/>
              <w:szCs w:val="24"/>
            </w:rPr>
            <w:instrText xml:space="preserve"> PAGEREF _Toc28647 \h </w:instrText>
          </w:r>
          <w:r>
            <w:rPr>
              <w:color w:val="auto"/>
              <w:sz w:val="24"/>
              <w:szCs w:val="24"/>
            </w:rPr>
            <w:fldChar w:fldCharType="separate"/>
          </w:r>
          <w:r>
            <w:rPr>
              <w:color w:val="auto"/>
              <w:sz w:val="24"/>
              <w:szCs w:val="24"/>
            </w:rPr>
            <w:t>43</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1AA9B700">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_Toc1304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4.5保护区标志设置</w:t>
          </w:r>
          <w:r>
            <w:rPr>
              <w:color w:val="auto"/>
              <w:sz w:val="24"/>
              <w:szCs w:val="24"/>
            </w:rPr>
            <w:tab/>
          </w:r>
          <w:r>
            <w:rPr>
              <w:color w:val="auto"/>
              <w:sz w:val="24"/>
              <w:szCs w:val="24"/>
            </w:rPr>
            <w:fldChar w:fldCharType="begin"/>
          </w:r>
          <w:r>
            <w:rPr>
              <w:color w:val="auto"/>
              <w:sz w:val="24"/>
              <w:szCs w:val="24"/>
            </w:rPr>
            <w:instrText xml:space="preserve"> PAGEREF _Toc1304 \h </w:instrText>
          </w:r>
          <w:r>
            <w:rPr>
              <w:color w:val="auto"/>
              <w:sz w:val="24"/>
              <w:szCs w:val="24"/>
            </w:rPr>
            <w:fldChar w:fldCharType="separate"/>
          </w:r>
          <w:r>
            <w:rPr>
              <w:color w:val="auto"/>
              <w:sz w:val="24"/>
              <w:szCs w:val="24"/>
            </w:rPr>
            <w:t>44</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3D6AEBE6">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_Toc3273 </w:instrText>
          </w:r>
          <w:r>
            <w:rPr>
              <w:rFonts w:hint="default" w:ascii="Times New Roman" w:hAnsi="Times New Roman" w:cs="Times New Roman"/>
              <w:color w:val="auto"/>
              <w:sz w:val="24"/>
              <w:szCs w:val="24"/>
              <w:lang w:eastAsia="zh-CN"/>
            </w:rPr>
            <w:fldChar w:fldCharType="separate"/>
          </w:r>
          <w:r>
            <w:rPr>
              <w:rFonts w:hint="eastAsia" w:ascii="Times New Roman" w:hAnsi="Times New Roman" w:eastAsia="宋体" w:cs="Times New Roman"/>
              <w:bCs/>
              <w:color w:val="auto"/>
              <w:kern w:val="2"/>
              <w:sz w:val="24"/>
              <w:szCs w:val="24"/>
              <w:lang w:val="en-US" w:eastAsia="zh-CN" w:bidi="ar-SA"/>
            </w:rPr>
            <w:t>4.6水源保护区应急预案</w:t>
          </w:r>
          <w:r>
            <w:rPr>
              <w:color w:val="auto"/>
              <w:sz w:val="24"/>
              <w:szCs w:val="24"/>
            </w:rPr>
            <w:tab/>
          </w:r>
          <w:r>
            <w:rPr>
              <w:color w:val="auto"/>
              <w:sz w:val="24"/>
              <w:szCs w:val="24"/>
            </w:rPr>
            <w:fldChar w:fldCharType="begin"/>
          </w:r>
          <w:r>
            <w:rPr>
              <w:color w:val="auto"/>
              <w:sz w:val="24"/>
              <w:szCs w:val="24"/>
            </w:rPr>
            <w:instrText xml:space="preserve"> PAGEREF _Toc3273 \h </w:instrText>
          </w:r>
          <w:r>
            <w:rPr>
              <w:color w:val="auto"/>
              <w:sz w:val="24"/>
              <w:szCs w:val="24"/>
            </w:rPr>
            <w:fldChar w:fldCharType="separate"/>
          </w:r>
          <w:r>
            <w:rPr>
              <w:color w:val="auto"/>
              <w:sz w:val="24"/>
              <w:szCs w:val="24"/>
            </w:rPr>
            <w:t>47</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05D908B4">
          <w:pPr>
            <w:pStyle w:val="16"/>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_Toc23640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44"/>
              <w:sz w:val="24"/>
              <w:szCs w:val="24"/>
              <w:lang w:val="en-US" w:eastAsia="zh-CN" w:bidi="ar-SA"/>
            </w:rPr>
            <w:t>五、饮用水水源保护区建设投资估算</w:t>
          </w:r>
          <w:r>
            <w:rPr>
              <w:color w:val="auto"/>
              <w:sz w:val="24"/>
              <w:szCs w:val="24"/>
            </w:rPr>
            <w:tab/>
          </w:r>
          <w:r>
            <w:rPr>
              <w:color w:val="auto"/>
              <w:sz w:val="24"/>
              <w:szCs w:val="24"/>
            </w:rPr>
            <w:fldChar w:fldCharType="begin"/>
          </w:r>
          <w:r>
            <w:rPr>
              <w:color w:val="auto"/>
              <w:sz w:val="24"/>
              <w:szCs w:val="24"/>
            </w:rPr>
            <w:instrText xml:space="preserve"> PAGEREF _Toc23640 \h </w:instrText>
          </w:r>
          <w:r>
            <w:rPr>
              <w:color w:val="auto"/>
              <w:sz w:val="24"/>
              <w:szCs w:val="24"/>
            </w:rPr>
            <w:fldChar w:fldCharType="separate"/>
          </w:r>
          <w:r>
            <w:rPr>
              <w:color w:val="auto"/>
              <w:sz w:val="24"/>
              <w:szCs w:val="24"/>
            </w:rPr>
            <w:t>55</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7743DD73">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_Toc17524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5.1投资估算</w:t>
          </w:r>
          <w:r>
            <w:rPr>
              <w:color w:val="auto"/>
              <w:sz w:val="24"/>
              <w:szCs w:val="24"/>
            </w:rPr>
            <w:tab/>
          </w:r>
          <w:r>
            <w:rPr>
              <w:color w:val="auto"/>
              <w:sz w:val="24"/>
              <w:szCs w:val="24"/>
            </w:rPr>
            <w:fldChar w:fldCharType="begin"/>
          </w:r>
          <w:r>
            <w:rPr>
              <w:color w:val="auto"/>
              <w:sz w:val="24"/>
              <w:szCs w:val="24"/>
            </w:rPr>
            <w:instrText xml:space="preserve"> PAGEREF _Toc17524 \h </w:instrText>
          </w:r>
          <w:r>
            <w:rPr>
              <w:color w:val="auto"/>
              <w:sz w:val="24"/>
              <w:szCs w:val="24"/>
            </w:rPr>
            <w:fldChar w:fldCharType="separate"/>
          </w:r>
          <w:r>
            <w:rPr>
              <w:color w:val="auto"/>
              <w:sz w:val="24"/>
              <w:szCs w:val="24"/>
            </w:rPr>
            <w:t>55</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537B7633">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_Toc10169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5.2规范化建设目标达标的可行性分析</w:t>
          </w:r>
          <w:r>
            <w:rPr>
              <w:color w:val="auto"/>
              <w:sz w:val="24"/>
              <w:szCs w:val="24"/>
            </w:rPr>
            <w:tab/>
          </w:r>
          <w:r>
            <w:rPr>
              <w:color w:val="auto"/>
              <w:sz w:val="24"/>
              <w:szCs w:val="24"/>
            </w:rPr>
            <w:fldChar w:fldCharType="begin"/>
          </w:r>
          <w:r>
            <w:rPr>
              <w:color w:val="auto"/>
              <w:sz w:val="24"/>
              <w:szCs w:val="24"/>
            </w:rPr>
            <w:instrText xml:space="preserve"> PAGEREF _Toc10169 \h </w:instrText>
          </w:r>
          <w:r>
            <w:rPr>
              <w:color w:val="auto"/>
              <w:sz w:val="24"/>
              <w:szCs w:val="24"/>
            </w:rPr>
            <w:fldChar w:fldCharType="separate"/>
          </w:r>
          <w:r>
            <w:rPr>
              <w:color w:val="auto"/>
              <w:sz w:val="24"/>
              <w:szCs w:val="24"/>
            </w:rPr>
            <w:t>55</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1F3DFEB6">
          <w:pPr>
            <w:pStyle w:val="16"/>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_Toc2893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44"/>
              <w:sz w:val="24"/>
              <w:szCs w:val="24"/>
              <w:lang w:val="en-US" w:eastAsia="zh-CN" w:bidi="ar-SA"/>
            </w:rPr>
            <w:t>六 结论</w:t>
          </w:r>
          <w:r>
            <w:rPr>
              <w:color w:val="auto"/>
              <w:sz w:val="24"/>
              <w:szCs w:val="24"/>
            </w:rPr>
            <w:tab/>
          </w:r>
          <w:r>
            <w:rPr>
              <w:color w:val="auto"/>
              <w:sz w:val="24"/>
              <w:szCs w:val="24"/>
            </w:rPr>
            <w:fldChar w:fldCharType="begin"/>
          </w:r>
          <w:r>
            <w:rPr>
              <w:color w:val="auto"/>
              <w:sz w:val="24"/>
              <w:szCs w:val="24"/>
            </w:rPr>
            <w:instrText xml:space="preserve"> PAGEREF _Toc2893 \h </w:instrText>
          </w:r>
          <w:r>
            <w:rPr>
              <w:color w:val="auto"/>
              <w:sz w:val="24"/>
              <w:szCs w:val="24"/>
            </w:rPr>
            <w:fldChar w:fldCharType="separate"/>
          </w:r>
          <w:r>
            <w:rPr>
              <w:color w:val="auto"/>
              <w:sz w:val="24"/>
              <w:szCs w:val="24"/>
            </w:rPr>
            <w:t>59</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6348AD83">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_Toc22493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6.1水源地概况</w:t>
          </w:r>
          <w:r>
            <w:rPr>
              <w:color w:val="auto"/>
              <w:sz w:val="24"/>
              <w:szCs w:val="24"/>
            </w:rPr>
            <w:tab/>
          </w:r>
          <w:r>
            <w:rPr>
              <w:color w:val="auto"/>
              <w:sz w:val="24"/>
              <w:szCs w:val="24"/>
            </w:rPr>
            <w:fldChar w:fldCharType="begin"/>
          </w:r>
          <w:r>
            <w:rPr>
              <w:color w:val="auto"/>
              <w:sz w:val="24"/>
              <w:szCs w:val="24"/>
            </w:rPr>
            <w:instrText xml:space="preserve"> PAGEREF _Toc22493 \h </w:instrText>
          </w:r>
          <w:r>
            <w:rPr>
              <w:color w:val="auto"/>
              <w:sz w:val="24"/>
              <w:szCs w:val="24"/>
            </w:rPr>
            <w:fldChar w:fldCharType="separate"/>
          </w:r>
          <w:r>
            <w:rPr>
              <w:color w:val="auto"/>
              <w:sz w:val="24"/>
              <w:szCs w:val="24"/>
            </w:rPr>
            <w:t>59</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4BC5E400">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_Toc28151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6.2水源保护区划分</w:t>
          </w:r>
          <w:r>
            <w:rPr>
              <w:color w:val="auto"/>
              <w:sz w:val="24"/>
              <w:szCs w:val="24"/>
            </w:rPr>
            <w:tab/>
          </w:r>
          <w:r>
            <w:rPr>
              <w:color w:val="auto"/>
              <w:sz w:val="24"/>
              <w:szCs w:val="24"/>
            </w:rPr>
            <w:fldChar w:fldCharType="begin"/>
          </w:r>
          <w:r>
            <w:rPr>
              <w:color w:val="auto"/>
              <w:sz w:val="24"/>
              <w:szCs w:val="24"/>
            </w:rPr>
            <w:instrText xml:space="preserve"> PAGEREF _Toc28151 \h </w:instrText>
          </w:r>
          <w:r>
            <w:rPr>
              <w:color w:val="auto"/>
              <w:sz w:val="24"/>
              <w:szCs w:val="24"/>
            </w:rPr>
            <w:fldChar w:fldCharType="separate"/>
          </w:r>
          <w:r>
            <w:rPr>
              <w:color w:val="auto"/>
              <w:sz w:val="24"/>
              <w:szCs w:val="24"/>
            </w:rPr>
            <w:t>59</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07CE2211">
          <w:pPr>
            <w:pStyle w:val="17"/>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_Toc21307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bCs/>
              <w:color w:val="auto"/>
              <w:kern w:val="2"/>
              <w:sz w:val="24"/>
              <w:szCs w:val="24"/>
              <w:lang w:val="en-US" w:eastAsia="zh-CN" w:bidi="ar-SA"/>
            </w:rPr>
            <w:t>6.3保护区设置</w:t>
          </w:r>
          <w:r>
            <w:rPr>
              <w:color w:val="auto"/>
              <w:sz w:val="24"/>
              <w:szCs w:val="24"/>
            </w:rPr>
            <w:tab/>
          </w:r>
          <w:r>
            <w:rPr>
              <w:color w:val="auto"/>
              <w:sz w:val="24"/>
              <w:szCs w:val="24"/>
            </w:rPr>
            <w:fldChar w:fldCharType="begin"/>
          </w:r>
          <w:r>
            <w:rPr>
              <w:color w:val="auto"/>
              <w:sz w:val="24"/>
              <w:szCs w:val="24"/>
            </w:rPr>
            <w:instrText xml:space="preserve"> PAGEREF _Toc21307 \h </w:instrText>
          </w:r>
          <w:r>
            <w:rPr>
              <w:color w:val="auto"/>
              <w:sz w:val="24"/>
              <w:szCs w:val="24"/>
            </w:rPr>
            <w:fldChar w:fldCharType="separate"/>
          </w:r>
          <w:r>
            <w:rPr>
              <w:color w:val="auto"/>
              <w:sz w:val="24"/>
              <w:szCs w:val="24"/>
            </w:rPr>
            <w:t>60</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450F7FD5">
          <w:pPr>
            <w:pStyle w:val="16"/>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_Toc7143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color w:val="auto"/>
              <w:sz w:val="24"/>
              <w:szCs w:val="24"/>
            </w:rPr>
            <w:t>附图</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饮用水源</w:t>
          </w:r>
          <w:r>
            <w:rPr>
              <w:rFonts w:hint="eastAsia" w:ascii="Times New Roman" w:hAnsi="Times New Roman" w:cs="Times New Roman"/>
              <w:color w:val="auto"/>
              <w:sz w:val="24"/>
              <w:szCs w:val="24"/>
              <w:highlight w:val="none"/>
              <w:lang w:val="en-US" w:eastAsia="zh-CN"/>
            </w:rPr>
            <w:t>井位置及周边污染源位置图</w:t>
          </w:r>
          <w:r>
            <w:rPr>
              <w:color w:val="auto"/>
              <w:sz w:val="24"/>
              <w:szCs w:val="24"/>
            </w:rPr>
            <w:tab/>
          </w:r>
          <w:r>
            <w:rPr>
              <w:color w:val="auto"/>
              <w:sz w:val="24"/>
              <w:szCs w:val="24"/>
            </w:rPr>
            <w:fldChar w:fldCharType="begin"/>
          </w:r>
          <w:r>
            <w:rPr>
              <w:color w:val="auto"/>
              <w:sz w:val="24"/>
              <w:szCs w:val="24"/>
            </w:rPr>
            <w:instrText xml:space="preserve"> PAGEREF _Toc7143 \h </w:instrText>
          </w:r>
          <w:r>
            <w:rPr>
              <w:color w:val="auto"/>
              <w:sz w:val="24"/>
              <w:szCs w:val="24"/>
            </w:rPr>
            <w:fldChar w:fldCharType="separate"/>
          </w:r>
          <w:r>
            <w:rPr>
              <w:color w:val="auto"/>
              <w:sz w:val="24"/>
              <w:szCs w:val="24"/>
            </w:rPr>
            <w:t>68</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753F0C30">
          <w:pPr>
            <w:pStyle w:val="16"/>
            <w:tabs>
              <w:tab w:val="right" w:leader="dot" w:pos="8306"/>
            </w:tabs>
            <w:spacing w:line="360" w:lineRule="auto"/>
            <w:rPr>
              <w:color w:val="auto"/>
              <w:sz w:val="24"/>
              <w:szCs w:val="24"/>
            </w:rPr>
          </w:pP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HYPERLINK \l _Toc19175 </w:instrText>
          </w:r>
          <w:r>
            <w:rPr>
              <w:rFonts w:hint="default" w:ascii="Times New Roman" w:hAnsi="Times New Roman" w:cs="Times New Roman"/>
              <w:color w:val="auto"/>
              <w:sz w:val="24"/>
              <w:szCs w:val="24"/>
              <w:lang w:eastAsia="zh-CN"/>
            </w:rPr>
            <w:fldChar w:fldCharType="separate"/>
          </w:r>
          <w:r>
            <w:rPr>
              <w:rFonts w:hint="default" w:ascii="Times New Roman" w:hAnsi="Times New Roman" w:eastAsia="宋体" w:cs="Times New Roman"/>
              <w:color w:val="auto"/>
              <w:sz w:val="24"/>
              <w:szCs w:val="24"/>
            </w:rPr>
            <w:t>附图</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highlight w:val="none"/>
              <w:lang w:val="en-US" w:eastAsia="zh-CN"/>
            </w:rPr>
            <w:t>饮用水源保护区划分红线及拐点坐标图</w:t>
          </w:r>
          <w:r>
            <w:rPr>
              <w:color w:val="auto"/>
              <w:sz w:val="24"/>
              <w:szCs w:val="24"/>
            </w:rPr>
            <w:tab/>
          </w:r>
          <w:r>
            <w:rPr>
              <w:color w:val="auto"/>
              <w:sz w:val="24"/>
              <w:szCs w:val="24"/>
            </w:rPr>
            <w:fldChar w:fldCharType="begin"/>
          </w:r>
          <w:r>
            <w:rPr>
              <w:color w:val="auto"/>
              <w:sz w:val="24"/>
              <w:szCs w:val="24"/>
            </w:rPr>
            <w:instrText xml:space="preserve"> PAGEREF _Toc19175 \h </w:instrText>
          </w:r>
          <w:r>
            <w:rPr>
              <w:color w:val="auto"/>
              <w:sz w:val="24"/>
              <w:szCs w:val="24"/>
            </w:rPr>
            <w:fldChar w:fldCharType="separate"/>
          </w:r>
          <w:r>
            <w:rPr>
              <w:color w:val="auto"/>
              <w:sz w:val="24"/>
              <w:szCs w:val="24"/>
            </w:rPr>
            <w:t>69</w:t>
          </w:r>
          <w:r>
            <w:rPr>
              <w:color w:val="auto"/>
              <w:sz w:val="24"/>
              <w:szCs w:val="24"/>
            </w:rPr>
            <w:fldChar w:fldCharType="end"/>
          </w:r>
          <w:r>
            <w:rPr>
              <w:rFonts w:hint="default" w:ascii="Times New Roman" w:hAnsi="Times New Roman" w:cs="Times New Roman"/>
              <w:color w:val="auto"/>
              <w:sz w:val="24"/>
              <w:szCs w:val="24"/>
              <w:lang w:eastAsia="zh-CN"/>
            </w:rPr>
            <w:fldChar w:fldCharType="end"/>
          </w:r>
        </w:p>
        <w:p w14:paraId="55FD6A76">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sz w:val="24"/>
              <w:szCs w:val="24"/>
              <w:lang w:eastAsia="zh-CN"/>
            </w:rPr>
            <w:fldChar w:fldCharType="end"/>
          </w:r>
        </w:p>
      </w:sdtContent>
    </w:sdt>
    <w:p w14:paraId="6AD28418">
      <w:pPr>
        <w:rPr>
          <w:rFonts w:hint="default" w:ascii="Times New Roman" w:hAnsi="Times New Roman" w:cs="Times New Roman"/>
          <w:color w:val="auto"/>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A7EF89">
      <w:pPr>
        <w:keepNext/>
        <w:keepLines/>
        <w:widowControl w:val="0"/>
        <w:spacing w:before="340" w:after="0" w:line="240" w:lineRule="atLeast"/>
        <w:jc w:val="center"/>
        <w:outlineLvl w:val="0"/>
        <w:rPr>
          <w:rFonts w:hint="default" w:ascii="Times New Roman" w:hAnsi="Times New Roman" w:eastAsia="宋体" w:cs="Times New Roman"/>
          <w:b/>
          <w:bCs/>
          <w:color w:val="auto"/>
          <w:kern w:val="44"/>
          <w:sz w:val="36"/>
          <w:szCs w:val="44"/>
          <w:lang w:val="en-US" w:eastAsia="zh-CN" w:bidi="ar-SA"/>
        </w:rPr>
      </w:pPr>
      <w:bookmarkStart w:id="2" w:name="_Toc463685499"/>
      <w:bookmarkStart w:id="3" w:name="_Toc456351912"/>
      <w:bookmarkStart w:id="4" w:name="_Toc456339246"/>
      <w:bookmarkStart w:id="5" w:name="_Toc456352038"/>
      <w:bookmarkStart w:id="6" w:name="_Toc5298"/>
      <w:bookmarkStart w:id="7" w:name="_Toc462134840"/>
      <w:bookmarkStart w:id="8" w:name="_Toc18694"/>
      <w:r>
        <w:rPr>
          <w:rFonts w:hint="default" w:ascii="Times New Roman" w:hAnsi="Times New Roman" w:eastAsia="宋体" w:cs="Times New Roman"/>
          <w:b/>
          <w:bCs/>
          <w:color w:val="auto"/>
          <w:kern w:val="44"/>
          <w:sz w:val="36"/>
          <w:szCs w:val="44"/>
          <w:lang w:val="en-US" w:eastAsia="zh-CN" w:bidi="ar-SA"/>
        </w:rPr>
        <w:t>一、总论</w:t>
      </w:r>
      <w:bookmarkEnd w:id="2"/>
      <w:bookmarkEnd w:id="3"/>
      <w:bookmarkEnd w:id="4"/>
      <w:bookmarkEnd w:id="5"/>
      <w:bookmarkEnd w:id="6"/>
      <w:bookmarkEnd w:id="7"/>
      <w:bookmarkEnd w:id="8"/>
    </w:p>
    <w:p w14:paraId="19FC3B90">
      <w:pPr>
        <w:pStyle w:val="4"/>
        <w:widowControl/>
        <w:outlineLvl w:val="1"/>
        <w:rPr>
          <w:rFonts w:hint="default" w:ascii="Times New Roman" w:hAnsi="Times New Roman" w:cs="Times New Roman"/>
          <w:color w:val="auto"/>
          <w:lang w:val="en-US"/>
        </w:rPr>
      </w:pPr>
      <w:bookmarkStart w:id="9" w:name="_Toc8449"/>
      <w:bookmarkStart w:id="10" w:name="_Toc456352039"/>
      <w:bookmarkStart w:id="11" w:name="_Toc456339247"/>
      <w:bookmarkStart w:id="12" w:name="_Toc463685500"/>
      <w:bookmarkStart w:id="13" w:name="_Toc462134841"/>
      <w:bookmarkStart w:id="14" w:name="_Toc456351913"/>
      <w:r>
        <w:rPr>
          <w:rFonts w:hint="default" w:ascii="Times New Roman" w:hAnsi="Times New Roman" w:cs="Times New Roman"/>
          <w:color w:val="auto"/>
          <w:lang w:val="en-US"/>
        </w:rPr>
        <w:t>1.1</w:t>
      </w:r>
      <w:r>
        <w:rPr>
          <w:rFonts w:hint="default" w:ascii="Times New Roman" w:hAnsi="Times New Roman" w:eastAsia="宋体" w:cs="Times New Roman"/>
          <w:color w:val="auto"/>
          <w:lang w:eastAsia="zh-CN"/>
        </w:rPr>
        <w:t>划分的必要性</w:t>
      </w:r>
      <w:bookmarkEnd w:id="9"/>
    </w:p>
    <w:p w14:paraId="67F9CF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color w:val="auto"/>
          <w:kern w:val="0"/>
          <w:sz w:val="28"/>
          <w:szCs w:val="28"/>
        </w:rPr>
      </w:pPr>
      <w:r>
        <w:rPr>
          <w:rFonts w:hint="eastAsia"/>
          <w:color w:val="auto"/>
          <w:kern w:val="0"/>
          <w:sz w:val="28"/>
          <w:szCs w:val="28"/>
          <w:lang w:val="en-US" w:eastAsia="zh-CN"/>
        </w:rPr>
        <w:t>水是</w:t>
      </w:r>
      <w:r>
        <w:rPr>
          <w:rFonts w:hint="eastAsia"/>
          <w:color w:val="auto"/>
          <w:kern w:val="0"/>
          <w:sz w:val="28"/>
          <w:szCs w:val="28"/>
        </w:rPr>
        <w:t>人类社会赖以生存和发展不可替代的有限自然资源，其中，饮用水与人类</w:t>
      </w:r>
      <w:r>
        <w:rPr>
          <w:rFonts w:hint="eastAsia"/>
          <w:color w:val="auto"/>
          <w:kern w:val="0"/>
          <w:sz w:val="28"/>
          <w:szCs w:val="28"/>
          <w:lang w:val="en-US" w:eastAsia="zh-CN"/>
        </w:rPr>
        <w:t>生活关</w:t>
      </w:r>
      <w:r>
        <w:rPr>
          <w:rFonts w:hint="eastAsia"/>
          <w:color w:val="auto"/>
          <w:kern w:val="0"/>
          <w:sz w:val="28"/>
          <w:szCs w:val="28"/>
        </w:rPr>
        <w:t>系更为密切，直接与人的健康和生命安全相联系。近年来，随着社会经济的发展，</w:t>
      </w:r>
      <w:r>
        <w:rPr>
          <w:rFonts w:hint="eastAsia"/>
          <w:color w:val="auto"/>
          <w:kern w:val="0"/>
          <w:sz w:val="28"/>
          <w:szCs w:val="28"/>
          <w:lang w:val="en-US" w:eastAsia="zh-CN"/>
        </w:rPr>
        <w:t>人</w:t>
      </w:r>
      <w:r>
        <w:rPr>
          <w:rFonts w:hint="eastAsia"/>
          <w:color w:val="auto"/>
          <w:kern w:val="0"/>
          <w:sz w:val="28"/>
          <w:szCs w:val="28"/>
        </w:rPr>
        <w:t>们对水资源的需求越来越大，保护水资源、维持水源永续利用变得十分重要。国家先后制定了</w:t>
      </w:r>
      <w:r>
        <w:rPr>
          <w:rFonts w:hint="eastAsia"/>
          <w:color w:val="auto"/>
          <w:kern w:val="0"/>
          <w:sz w:val="28"/>
          <w:szCs w:val="28"/>
          <w:lang w:eastAsia="zh-CN"/>
        </w:rPr>
        <w:t>《</w:t>
      </w:r>
      <w:r>
        <w:rPr>
          <w:rFonts w:hint="eastAsia"/>
          <w:color w:val="auto"/>
          <w:kern w:val="0"/>
          <w:sz w:val="28"/>
          <w:szCs w:val="28"/>
        </w:rPr>
        <w:t>中华人民共和国水污染防治法》、《饮用水水源保护区污染防治管理规定</w:t>
      </w:r>
      <w:r>
        <w:rPr>
          <w:rFonts w:hint="eastAsia"/>
          <w:color w:val="auto"/>
          <w:kern w:val="0"/>
          <w:sz w:val="28"/>
          <w:szCs w:val="28"/>
          <w:lang w:eastAsia="zh-CN"/>
        </w:rPr>
        <w:t>》</w:t>
      </w:r>
      <w:r>
        <w:rPr>
          <w:rFonts w:hint="eastAsia"/>
          <w:color w:val="auto"/>
          <w:kern w:val="0"/>
          <w:sz w:val="28"/>
          <w:szCs w:val="28"/>
        </w:rPr>
        <w:t>、</w:t>
      </w:r>
      <w:r>
        <w:rPr>
          <w:rFonts w:hint="eastAsia"/>
          <w:color w:val="auto"/>
          <w:kern w:val="0"/>
          <w:sz w:val="28"/>
          <w:szCs w:val="28"/>
          <w:lang w:eastAsia="zh-CN"/>
        </w:rPr>
        <w:t>《</w:t>
      </w:r>
      <w:r>
        <w:rPr>
          <w:rFonts w:hint="eastAsia"/>
          <w:color w:val="auto"/>
          <w:kern w:val="0"/>
          <w:sz w:val="28"/>
          <w:szCs w:val="28"/>
          <w:lang w:val="en-US" w:eastAsia="zh-CN"/>
        </w:rPr>
        <w:t>饮</w:t>
      </w:r>
      <w:r>
        <w:rPr>
          <w:rFonts w:hint="eastAsia"/>
          <w:color w:val="auto"/>
          <w:kern w:val="0"/>
          <w:sz w:val="28"/>
          <w:szCs w:val="28"/>
        </w:rPr>
        <w:t>用水水源保护区划分技术规范》等法律、法规和规范性文件，各地方也积极</w:t>
      </w:r>
      <w:r>
        <w:rPr>
          <w:rFonts w:hint="eastAsia"/>
          <w:color w:val="auto"/>
          <w:kern w:val="0"/>
          <w:sz w:val="28"/>
          <w:szCs w:val="28"/>
          <w:lang w:val="en-US" w:eastAsia="zh-CN"/>
        </w:rPr>
        <w:t>开展</w:t>
      </w:r>
      <w:r>
        <w:rPr>
          <w:rFonts w:hint="eastAsia"/>
          <w:color w:val="auto"/>
          <w:kern w:val="0"/>
          <w:sz w:val="28"/>
          <w:szCs w:val="28"/>
        </w:rPr>
        <w:t>水资源保护工作，编制相关条例、规划、区划等，对水源保护区进行分级、分区和分目标管理，有效保护饮用水水质安全。建立水源保护区是保护饮用水水源的关键措施，也是保护水源地的有效手段。</w:t>
      </w:r>
    </w:p>
    <w:p w14:paraId="0B3E69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lang w:val="en-US" w:eastAsia="zh-CN"/>
        </w:rPr>
        <w:t>本次水源地划分包含</w:t>
      </w:r>
      <w:r>
        <w:rPr>
          <w:rFonts w:hint="default" w:ascii="Times New Roman" w:hAnsi="Times New Roman" w:cs="Times New Roman"/>
          <w:color w:val="auto"/>
          <w:kern w:val="0"/>
          <w:sz w:val="28"/>
          <w:szCs w:val="28"/>
          <w:highlight w:val="none"/>
        </w:rPr>
        <w:t>西安市</w:t>
      </w:r>
      <w:r>
        <w:rPr>
          <w:rFonts w:hint="default" w:ascii="Times New Roman" w:hAnsi="Times New Roman" w:cs="Times New Roman"/>
          <w:color w:val="auto"/>
          <w:kern w:val="0"/>
          <w:sz w:val="28"/>
          <w:szCs w:val="28"/>
          <w:highlight w:val="none"/>
          <w:lang w:val="en-US" w:eastAsia="zh-CN"/>
        </w:rPr>
        <w:t>灞桥区狄寨街道狄寨村</w:t>
      </w:r>
      <w:r>
        <w:rPr>
          <w:rFonts w:hint="default" w:ascii="Times New Roman" w:hAnsi="Times New Roman" w:cs="Times New Roman"/>
          <w:color w:val="auto"/>
          <w:kern w:val="0"/>
          <w:sz w:val="28"/>
          <w:szCs w:val="28"/>
          <w:highlight w:val="none"/>
        </w:rPr>
        <w:t>两口水井，</w:t>
      </w:r>
      <w:r>
        <w:rPr>
          <w:rFonts w:hint="default" w:ascii="Times New Roman" w:hAnsi="Times New Roman" w:cs="Times New Roman"/>
          <w:color w:val="auto"/>
          <w:kern w:val="0"/>
          <w:sz w:val="28"/>
          <w:szCs w:val="28"/>
          <w:highlight w:val="none"/>
          <w:lang w:val="en-US" w:eastAsia="zh-CN"/>
        </w:rPr>
        <w:t>各</w:t>
      </w:r>
      <w:r>
        <w:rPr>
          <w:rFonts w:hint="default" w:ascii="Times New Roman" w:hAnsi="Times New Roman" w:cs="Times New Roman"/>
          <w:color w:val="auto"/>
          <w:kern w:val="0"/>
          <w:sz w:val="28"/>
          <w:szCs w:val="28"/>
          <w:highlight w:val="none"/>
        </w:rPr>
        <w:t>用水</w:t>
      </w:r>
      <w:r>
        <w:rPr>
          <w:rFonts w:hint="default" w:ascii="Times New Roman" w:hAnsi="Times New Roman" w:cs="Times New Roman"/>
          <w:color w:val="auto"/>
          <w:kern w:val="0"/>
          <w:sz w:val="28"/>
          <w:szCs w:val="28"/>
          <w:highlight w:val="none"/>
          <w:lang w:val="en-US" w:eastAsia="zh-CN"/>
        </w:rPr>
        <w:t>井均</w:t>
      </w:r>
      <w:r>
        <w:rPr>
          <w:rFonts w:hint="default" w:ascii="Times New Roman" w:hAnsi="Times New Roman" w:cs="Times New Roman"/>
          <w:color w:val="auto"/>
          <w:kern w:val="0"/>
          <w:sz w:val="28"/>
          <w:szCs w:val="28"/>
          <w:highlight w:val="none"/>
        </w:rPr>
        <w:t>位于供水站</w:t>
      </w:r>
      <w:r>
        <w:rPr>
          <w:rFonts w:hint="default" w:ascii="Times New Roman" w:hAnsi="Times New Roman" w:cs="Times New Roman"/>
          <w:color w:val="auto"/>
          <w:kern w:val="0"/>
          <w:sz w:val="28"/>
          <w:szCs w:val="28"/>
          <w:highlight w:val="none"/>
          <w:lang w:val="en-US" w:eastAsia="zh-CN"/>
        </w:rPr>
        <w:t>围墙里</w:t>
      </w:r>
      <w:r>
        <w:rPr>
          <w:rFonts w:hint="default" w:ascii="Times New Roman" w:hAnsi="Times New Roman" w:cs="Times New Roman"/>
          <w:color w:val="auto"/>
          <w:kern w:val="0"/>
          <w:sz w:val="28"/>
          <w:szCs w:val="28"/>
          <w:highlight w:val="none"/>
        </w:rPr>
        <w:t>，设有单独</w:t>
      </w:r>
      <w:r>
        <w:rPr>
          <w:rFonts w:hint="default" w:ascii="Times New Roman" w:hAnsi="Times New Roman" w:cs="Times New Roman"/>
          <w:color w:val="auto"/>
          <w:kern w:val="0"/>
          <w:sz w:val="28"/>
          <w:szCs w:val="28"/>
          <w:highlight w:val="none"/>
          <w:lang w:val="en-US" w:eastAsia="zh-CN"/>
        </w:rPr>
        <w:t>井</w:t>
      </w:r>
      <w:r>
        <w:rPr>
          <w:rFonts w:hint="default" w:ascii="Times New Roman" w:hAnsi="Times New Roman" w:cs="Times New Roman"/>
          <w:color w:val="auto"/>
          <w:kern w:val="0"/>
          <w:sz w:val="28"/>
          <w:szCs w:val="28"/>
          <w:highlight w:val="none"/>
        </w:rPr>
        <w:t>房，封闭管理。</w:t>
      </w:r>
      <w:r>
        <w:rPr>
          <w:rFonts w:hint="default" w:ascii="Times New Roman" w:hAnsi="Times New Roman" w:cs="Times New Roman"/>
          <w:color w:val="auto"/>
          <w:kern w:val="0"/>
          <w:sz w:val="28"/>
          <w:szCs w:val="28"/>
          <w:highlight w:val="none"/>
          <w:lang w:val="en-US" w:eastAsia="zh-CN"/>
        </w:rPr>
        <w:t>两眼井均</w:t>
      </w:r>
      <w:r>
        <w:rPr>
          <w:rFonts w:hint="default" w:ascii="Times New Roman" w:hAnsi="Times New Roman" w:cs="Times New Roman"/>
          <w:color w:val="auto"/>
          <w:kern w:val="0"/>
          <w:sz w:val="28"/>
          <w:szCs w:val="28"/>
          <w:highlight w:val="none"/>
        </w:rPr>
        <w:t>建于201</w:t>
      </w:r>
      <w:r>
        <w:rPr>
          <w:rFonts w:hint="default" w:ascii="Times New Roman" w:hAnsi="Times New Roman" w:cs="Times New Roman"/>
          <w:color w:val="auto"/>
          <w:kern w:val="0"/>
          <w:sz w:val="28"/>
          <w:szCs w:val="28"/>
          <w:highlight w:val="none"/>
          <w:lang w:val="en-US" w:eastAsia="zh-CN"/>
        </w:rPr>
        <w:t>5</w:t>
      </w:r>
      <w:r>
        <w:rPr>
          <w:rFonts w:hint="default" w:ascii="Times New Roman" w:hAnsi="Times New Roman" w:cs="Times New Roman"/>
          <w:color w:val="auto"/>
          <w:kern w:val="0"/>
          <w:sz w:val="28"/>
          <w:szCs w:val="28"/>
          <w:highlight w:val="none"/>
        </w:rPr>
        <w:t>年，</w:t>
      </w:r>
      <w:r>
        <w:rPr>
          <w:rFonts w:hint="default" w:ascii="Times New Roman" w:hAnsi="Times New Roman" w:cs="Times New Roman"/>
          <w:color w:val="auto"/>
          <w:kern w:val="0"/>
          <w:sz w:val="28"/>
          <w:szCs w:val="28"/>
          <w:highlight w:val="none"/>
          <w:lang w:val="en-US" w:eastAsia="zh-CN"/>
        </w:rPr>
        <w:t>1#井井深300m，</w:t>
      </w:r>
      <w:r>
        <w:rPr>
          <w:rFonts w:hint="default" w:ascii="Times New Roman" w:hAnsi="Times New Roman" w:cs="Times New Roman"/>
          <w:color w:val="auto"/>
          <w:kern w:val="0"/>
          <w:sz w:val="28"/>
          <w:szCs w:val="28"/>
          <w:highlight w:val="none"/>
        </w:rPr>
        <w:t>设计日供水量</w:t>
      </w:r>
      <w:r>
        <w:rPr>
          <w:rFonts w:hint="default" w:ascii="Times New Roman" w:hAnsi="Times New Roman" w:cs="Times New Roman"/>
          <w:color w:val="auto"/>
          <w:kern w:val="0"/>
          <w:sz w:val="28"/>
          <w:szCs w:val="28"/>
          <w:highlight w:val="none"/>
          <w:lang w:val="en-US" w:eastAsia="zh-CN"/>
        </w:rPr>
        <w:t>432</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eastAsia" w:ascii="Times New Roman" w:hAnsi="Times New Roman" w:cs="Times New Roman"/>
          <w:color w:val="auto"/>
          <w:kern w:val="0"/>
          <w:sz w:val="28"/>
          <w:szCs w:val="28"/>
          <w:highlight w:val="none"/>
          <w:lang w:eastAsia="zh-CN"/>
        </w:rPr>
        <w:t>，</w:t>
      </w:r>
      <w:r>
        <w:rPr>
          <w:rFonts w:hint="default" w:ascii="Times New Roman" w:hAnsi="Times New Roman" w:cs="Times New Roman"/>
          <w:color w:val="auto"/>
          <w:kern w:val="0"/>
          <w:sz w:val="28"/>
          <w:szCs w:val="28"/>
          <w:highlight w:val="none"/>
        </w:rPr>
        <w:t>实际日供水量</w:t>
      </w:r>
      <w:r>
        <w:rPr>
          <w:rFonts w:hint="eastAsia" w:ascii="Times New Roman" w:hAnsi="Times New Roman" w:cs="Times New Roman"/>
          <w:color w:val="auto"/>
          <w:kern w:val="0"/>
          <w:sz w:val="28"/>
          <w:szCs w:val="28"/>
          <w:highlight w:val="none"/>
          <w:lang w:val="en-US" w:eastAsia="zh-CN"/>
        </w:rPr>
        <w:t>为406</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default" w:ascii="Times New Roman" w:hAnsi="Times New Roman" w:cs="Times New Roman"/>
          <w:color w:val="auto"/>
          <w:kern w:val="0"/>
          <w:sz w:val="28"/>
          <w:szCs w:val="28"/>
          <w:highlight w:val="none"/>
          <w:lang w:eastAsia="zh-CN"/>
        </w:rPr>
        <w:t>；</w:t>
      </w:r>
      <w:r>
        <w:rPr>
          <w:rFonts w:hint="default" w:ascii="Times New Roman" w:hAnsi="Times New Roman" w:cs="Times New Roman"/>
          <w:color w:val="auto"/>
          <w:kern w:val="0"/>
          <w:sz w:val="28"/>
          <w:szCs w:val="28"/>
          <w:highlight w:val="none"/>
          <w:lang w:val="en-US" w:eastAsia="zh-CN"/>
        </w:rPr>
        <w:t>2#井井深2</w:t>
      </w:r>
      <w:r>
        <w:rPr>
          <w:rFonts w:hint="eastAsia" w:ascii="Times New Roman" w:hAnsi="Times New Roman" w:cs="Times New Roman"/>
          <w:color w:val="auto"/>
          <w:kern w:val="0"/>
          <w:sz w:val="28"/>
          <w:szCs w:val="28"/>
          <w:highlight w:val="none"/>
          <w:lang w:val="en-US" w:eastAsia="zh-CN"/>
        </w:rPr>
        <w:t>8</w:t>
      </w:r>
      <w:r>
        <w:rPr>
          <w:rFonts w:hint="default" w:ascii="Times New Roman" w:hAnsi="Times New Roman" w:cs="Times New Roman"/>
          <w:color w:val="auto"/>
          <w:kern w:val="0"/>
          <w:sz w:val="28"/>
          <w:szCs w:val="28"/>
          <w:highlight w:val="none"/>
          <w:lang w:val="en-US" w:eastAsia="zh-CN"/>
        </w:rPr>
        <w:t>0m</w:t>
      </w:r>
      <w:r>
        <w:rPr>
          <w:rFonts w:hint="default" w:ascii="Times New Roman" w:hAnsi="Times New Roman" w:cs="Times New Roman"/>
          <w:color w:val="auto"/>
          <w:kern w:val="0"/>
          <w:sz w:val="28"/>
          <w:szCs w:val="28"/>
          <w:highlight w:val="none"/>
        </w:rPr>
        <w:t>，设计日供水量</w:t>
      </w:r>
      <w:r>
        <w:rPr>
          <w:rFonts w:hint="eastAsia" w:ascii="Times New Roman" w:hAnsi="Times New Roman" w:cs="Times New Roman"/>
          <w:color w:val="auto"/>
          <w:kern w:val="0"/>
          <w:sz w:val="28"/>
          <w:szCs w:val="28"/>
          <w:highlight w:val="none"/>
          <w:lang w:val="en-US" w:eastAsia="zh-CN"/>
        </w:rPr>
        <w:t>432</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d，实际日供水量</w:t>
      </w:r>
      <w:r>
        <w:rPr>
          <w:rFonts w:hint="eastAsia" w:ascii="Times New Roman" w:hAnsi="Times New Roman" w:cs="Times New Roman"/>
          <w:color w:val="auto"/>
          <w:kern w:val="0"/>
          <w:sz w:val="28"/>
          <w:szCs w:val="28"/>
          <w:highlight w:val="none"/>
          <w:lang w:val="en-US" w:eastAsia="zh-CN"/>
        </w:rPr>
        <w:t>为4</w:t>
      </w:r>
      <w:r>
        <w:rPr>
          <w:rFonts w:hint="default" w:ascii="Times New Roman" w:hAnsi="Times New Roman" w:cs="Times New Roman"/>
          <w:color w:val="auto"/>
          <w:kern w:val="0"/>
          <w:sz w:val="28"/>
          <w:szCs w:val="28"/>
          <w:highlight w:val="none"/>
        </w:rPr>
        <w:t>00m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d，目前运行状况良好。主要供水范围为</w:t>
      </w:r>
      <w:r>
        <w:rPr>
          <w:rFonts w:hint="default" w:ascii="Times New Roman" w:hAnsi="Times New Roman" w:cs="Times New Roman"/>
          <w:color w:val="auto"/>
          <w:kern w:val="0"/>
          <w:sz w:val="28"/>
          <w:szCs w:val="28"/>
          <w:highlight w:val="none"/>
          <w:lang w:val="en-US" w:eastAsia="zh-CN"/>
        </w:rPr>
        <w:t>狄寨街道狄寨村</w:t>
      </w:r>
      <w:r>
        <w:rPr>
          <w:rFonts w:hint="default" w:ascii="Times New Roman" w:hAnsi="Times New Roman" w:cs="Times New Roman"/>
          <w:color w:val="auto"/>
          <w:kern w:val="0"/>
          <w:sz w:val="28"/>
          <w:szCs w:val="28"/>
          <w:highlight w:val="none"/>
        </w:rPr>
        <w:t>，总供水人口约</w:t>
      </w:r>
      <w:r>
        <w:rPr>
          <w:rFonts w:hint="eastAsia" w:ascii="Times New Roman" w:hAnsi="Times New Roman" w:cs="Times New Roman"/>
          <w:color w:val="auto"/>
          <w:kern w:val="0"/>
          <w:sz w:val="28"/>
          <w:szCs w:val="28"/>
          <w:highlight w:val="none"/>
          <w:lang w:val="en-US" w:eastAsia="zh-CN"/>
        </w:rPr>
        <w:t>5000余</w:t>
      </w:r>
      <w:r>
        <w:rPr>
          <w:rFonts w:hint="default" w:ascii="Times New Roman" w:hAnsi="Times New Roman" w:cs="Times New Roman"/>
          <w:color w:val="auto"/>
          <w:kern w:val="0"/>
          <w:sz w:val="28"/>
          <w:szCs w:val="28"/>
          <w:highlight w:val="none"/>
        </w:rPr>
        <w:t>人。</w:t>
      </w:r>
    </w:p>
    <w:p w14:paraId="1CE332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color w:val="auto"/>
          <w:kern w:val="0"/>
          <w:sz w:val="28"/>
          <w:szCs w:val="28"/>
        </w:rPr>
      </w:pPr>
      <w:r>
        <w:rPr>
          <w:rFonts w:hint="eastAsia"/>
          <w:color w:val="auto"/>
          <w:kern w:val="0"/>
          <w:sz w:val="28"/>
          <w:szCs w:val="28"/>
          <w:lang w:val="en-US" w:eastAsia="zh-CN"/>
        </w:rPr>
        <w:t>根据《陕西省生态环境厅关于推动乡镇级饮用水水源保护区划定工作的通知》（陕环水体函[2022]5号）、《西安市碧水保卫战2022年工作方案》和市政府有关水源保护区划定要求，要加强农村饮用水源保护，切实保障人民群众饮水安全。</w:t>
      </w:r>
      <w:r>
        <w:rPr>
          <w:rFonts w:hint="eastAsia"/>
          <w:color w:val="auto"/>
          <w:kern w:val="0"/>
          <w:sz w:val="28"/>
          <w:szCs w:val="28"/>
        </w:rPr>
        <w:t>因此，开展对西安市灞桥区</w:t>
      </w:r>
      <w:r>
        <w:rPr>
          <w:rFonts w:hint="eastAsia"/>
          <w:color w:val="auto"/>
          <w:kern w:val="0"/>
          <w:sz w:val="28"/>
          <w:szCs w:val="28"/>
          <w:lang w:eastAsia="zh-CN"/>
        </w:rPr>
        <w:t>狄寨街道狄寨村饮用水水源保护区划分</w:t>
      </w:r>
      <w:r>
        <w:rPr>
          <w:rFonts w:hint="eastAsia"/>
          <w:color w:val="auto"/>
          <w:kern w:val="0"/>
          <w:sz w:val="28"/>
          <w:szCs w:val="28"/>
        </w:rPr>
        <w:t>工作是十分必要的，不但有助于完善水源地保护管理工作，也能有效保护饮用水源地，保障村民饮用水安全。</w:t>
      </w:r>
    </w:p>
    <w:p w14:paraId="2F5AF0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color w:val="auto"/>
          <w:kern w:val="0"/>
          <w:sz w:val="28"/>
          <w:szCs w:val="28"/>
        </w:rPr>
      </w:pPr>
      <w:r>
        <w:rPr>
          <w:rFonts w:hint="eastAsia"/>
          <w:color w:val="auto"/>
          <w:kern w:val="0"/>
          <w:sz w:val="28"/>
          <w:szCs w:val="28"/>
        </w:rPr>
        <w:t>在此背景下，西安市生态环境局灞桥分局委托</w:t>
      </w:r>
      <w:r>
        <w:rPr>
          <w:rFonts w:hint="eastAsia"/>
          <w:color w:val="auto"/>
          <w:kern w:val="0"/>
          <w:sz w:val="28"/>
          <w:szCs w:val="28"/>
          <w:lang w:eastAsia="zh-CN"/>
        </w:rPr>
        <w:t>陕西企科环境技术有限公司</w:t>
      </w:r>
      <w:r>
        <w:rPr>
          <w:rFonts w:hint="eastAsia"/>
          <w:color w:val="auto"/>
          <w:kern w:val="0"/>
          <w:sz w:val="28"/>
          <w:szCs w:val="28"/>
        </w:rPr>
        <w:t>编制《西安市灞桥区</w:t>
      </w:r>
      <w:r>
        <w:rPr>
          <w:rFonts w:hint="eastAsia"/>
          <w:color w:val="auto"/>
          <w:kern w:val="0"/>
          <w:sz w:val="28"/>
          <w:szCs w:val="28"/>
          <w:lang w:eastAsia="zh-CN"/>
        </w:rPr>
        <w:t>狄寨街道狄寨村饮用水水源保护区划分</w:t>
      </w:r>
      <w:r>
        <w:rPr>
          <w:rFonts w:hint="eastAsia"/>
          <w:color w:val="auto"/>
          <w:kern w:val="0"/>
          <w:sz w:val="28"/>
          <w:szCs w:val="28"/>
        </w:rPr>
        <w:t>技术报告》，开展水源保护区划分工作，以期能够更系统、全面和有效地保护水源地，同时为后续水源地保护工作的开展奠定基础。</w:t>
      </w:r>
    </w:p>
    <w:p w14:paraId="334AB1B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eastAsia="宋体"/>
          <w:color w:val="auto"/>
          <w:kern w:val="0"/>
          <w:sz w:val="28"/>
          <w:szCs w:val="28"/>
          <w:lang w:val="en-US" w:eastAsia="zh-CN"/>
        </w:rPr>
      </w:pPr>
      <w:r>
        <w:rPr>
          <w:rFonts w:hint="eastAsia"/>
          <w:color w:val="auto"/>
          <w:kern w:val="0"/>
          <w:sz w:val="28"/>
          <w:szCs w:val="28"/>
        </w:rPr>
        <w:t>感谢在工作开展中西安市生态环境局灞桥分局等单位给予的大</w:t>
      </w:r>
      <w:r>
        <w:rPr>
          <w:rFonts w:hint="eastAsia"/>
          <w:color w:val="auto"/>
          <w:kern w:val="0"/>
          <w:sz w:val="28"/>
          <w:szCs w:val="28"/>
          <w:lang w:val="en-US" w:eastAsia="zh-CN"/>
        </w:rPr>
        <w:t>力帮助！</w:t>
      </w:r>
    </w:p>
    <w:p w14:paraId="0D7F4676">
      <w:pPr>
        <w:numPr>
          <w:ilvl w:val="0"/>
          <w:numId w:val="0"/>
        </w:numPr>
        <w:spacing w:line="360" w:lineRule="auto"/>
        <w:rPr>
          <w:rFonts w:hint="default" w:ascii="Times New Roman" w:hAnsi="Times New Roman" w:cs="Times New Roman"/>
          <w:color w:val="auto"/>
          <w:sz w:val="28"/>
          <w:szCs w:val="28"/>
        </w:rPr>
      </w:pPr>
    </w:p>
    <w:p w14:paraId="71DC11F6">
      <w:pPr>
        <w:rPr>
          <w:rFonts w:hint="default" w:ascii="Times New Roman" w:hAnsi="Times New Roman" w:cs="Times New Roman"/>
          <w:b/>
          <w:color w:val="auto"/>
          <w:sz w:val="24"/>
          <w:szCs w:val="24"/>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708602B">
      <w:pPr>
        <w:pStyle w:val="4"/>
        <w:widowControl/>
        <w:outlineLvl w:val="1"/>
        <w:rPr>
          <w:rFonts w:hint="default" w:ascii="Times New Roman" w:hAnsi="Times New Roman" w:cs="Times New Roman"/>
          <w:color w:val="auto"/>
          <w:lang w:val="en-US"/>
        </w:rPr>
      </w:pPr>
      <w:bookmarkStart w:id="15" w:name="_Toc31675"/>
      <w:r>
        <w:rPr>
          <w:rFonts w:hint="default" w:ascii="Times New Roman" w:hAnsi="Times New Roman" w:cs="Times New Roman"/>
          <w:color w:val="auto"/>
          <w:lang w:val="en-US"/>
        </w:rPr>
        <w:t xml:space="preserve">1.2 </w:t>
      </w:r>
      <w:r>
        <w:rPr>
          <w:rFonts w:hint="default" w:ascii="Times New Roman" w:hAnsi="Times New Roman" w:cs="Times New Roman"/>
          <w:color w:val="auto"/>
          <w:lang w:val="en-US" w:eastAsia="zh-CN"/>
        </w:rPr>
        <w:t>划分依据</w:t>
      </w:r>
      <w:bookmarkEnd w:id="10"/>
      <w:bookmarkEnd w:id="11"/>
      <w:bookmarkEnd w:id="12"/>
      <w:bookmarkEnd w:id="13"/>
      <w:bookmarkEnd w:id="14"/>
      <w:bookmarkEnd w:id="15"/>
    </w:p>
    <w:p w14:paraId="315B5CE5">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1.2.1</w:t>
      </w:r>
      <w:r>
        <w:rPr>
          <w:rFonts w:hint="default" w:ascii="Times New Roman" w:hAnsi="Times New Roman" w:cs="Times New Roman"/>
          <w:color w:val="auto"/>
          <w:lang w:eastAsia="zh-CN"/>
        </w:rPr>
        <w:t>相关法律法规、部门规章</w:t>
      </w:r>
    </w:p>
    <w:p w14:paraId="11984BDC">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（1）《中华人民共和国环境保护法》（2014年4月）；</w:t>
      </w:r>
    </w:p>
    <w:p w14:paraId="639EE499">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（2）《中华人民共和国水法》（2016年7月修订）；</w:t>
      </w:r>
    </w:p>
    <w:p w14:paraId="568F80D3">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（3）《中华人民共和国水污染防治法》（2017年6月27日修正）；</w:t>
      </w:r>
    </w:p>
    <w:p w14:paraId="74427C81">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（4）《饮用水水源保护区污染防治管理规定》（2010年12月22日修正）；</w:t>
      </w:r>
    </w:p>
    <w:p w14:paraId="682EF5AC">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（5）《中华人民共和国水污染防治法实施细则》（2000年3月）；</w:t>
      </w:r>
    </w:p>
    <w:p w14:paraId="4CDA9A91">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（6）《饮用水水源保护区污染防治管理规定》（2010年修正版）；</w:t>
      </w:r>
    </w:p>
    <w:p w14:paraId="4F946C2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8"/>
          <w:szCs w:val="28"/>
          <w:lang w:val="en-US" w:eastAsia="zh-CN" w:bidi="ar"/>
        </w:rPr>
      </w:pPr>
      <w:r>
        <w:rPr>
          <w:rFonts w:hint="default" w:ascii="Times New Roman" w:hAnsi="Times New Roman" w:eastAsia="宋体" w:cs="Times New Roman"/>
          <w:color w:val="auto"/>
          <w:kern w:val="2"/>
          <w:sz w:val="28"/>
          <w:szCs w:val="28"/>
          <w:lang w:val="en-US" w:eastAsia="zh-CN" w:bidi="ar"/>
        </w:rPr>
        <w:t>（7）</w:t>
      </w:r>
      <w:r>
        <w:rPr>
          <w:rFonts w:hint="eastAsia"/>
          <w:color w:val="auto"/>
          <w:sz w:val="28"/>
          <w:szCs w:val="28"/>
          <w:lang w:val="en-US" w:eastAsia="zh-CN"/>
        </w:rPr>
        <w:t>《陕西省饮用水水源保护条例》</w:t>
      </w:r>
      <w:r>
        <w:rPr>
          <w:rFonts w:hint="default" w:ascii="Times New Roman" w:hAnsi="Times New Roman" w:cs="Times New Roman"/>
          <w:color w:val="auto"/>
          <w:sz w:val="28"/>
          <w:szCs w:val="28"/>
          <w:lang w:val="en-US" w:eastAsia="zh-CN"/>
        </w:rPr>
        <w:t>（2021年5月1日起施行）</w:t>
      </w:r>
      <w:r>
        <w:rPr>
          <w:rFonts w:hint="default" w:ascii="Times New Roman" w:hAnsi="Times New Roman" w:eastAsia="宋体" w:cs="Times New Roman"/>
          <w:color w:val="auto"/>
          <w:kern w:val="2"/>
          <w:sz w:val="28"/>
          <w:szCs w:val="28"/>
          <w:lang w:val="en-US" w:eastAsia="zh-CN" w:bidi="ar"/>
        </w:rPr>
        <w:t>；</w:t>
      </w:r>
    </w:p>
    <w:p w14:paraId="39C205E8">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8"/>
          <w:szCs w:val="28"/>
          <w:lang w:val="en-US" w:eastAsia="zh-CN" w:bidi="ar"/>
        </w:rPr>
      </w:pPr>
      <w:r>
        <w:rPr>
          <w:rFonts w:hint="default" w:ascii="Times New Roman" w:hAnsi="Times New Roman" w:eastAsia="宋体" w:cs="Times New Roman"/>
          <w:color w:val="auto"/>
          <w:kern w:val="2"/>
          <w:sz w:val="28"/>
          <w:szCs w:val="28"/>
          <w:lang w:val="en-US" w:eastAsia="zh-CN" w:bidi="ar"/>
        </w:rPr>
        <w:t>（8）《陕西省城乡供水用水条例》（2008.10）</w:t>
      </w:r>
      <w:r>
        <w:rPr>
          <w:rFonts w:hint="eastAsia" w:ascii="Times New Roman" w:hAnsi="Times New Roman" w:cs="Times New Roman"/>
          <w:color w:val="auto"/>
          <w:kern w:val="2"/>
          <w:sz w:val="28"/>
          <w:szCs w:val="28"/>
          <w:lang w:val="en-US" w:eastAsia="zh-CN" w:bidi="ar"/>
        </w:rPr>
        <w:t>；</w:t>
      </w:r>
    </w:p>
    <w:p w14:paraId="01FFB777">
      <w:pPr>
        <w:keepNext w:val="0"/>
        <w:keepLines w:val="0"/>
        <w:widowControl w:val="0"/>
        <w:suppressLineNumbers w:val="0"/>
        <w:spacing w:before="0" w:beforeAutospacing="0" w:after="0" w:afterAutospacing="0" w:line="360" w:lineRule="auto"/>
        <w:ind w:left="0" w:right="0"/>
        <w:jc w:val="both"/>
        <w:rPr>
          <w:rFonts w:hint="eastAsia" w:ascii="Times New Roman" w:hAnsi="Times New Roman" w:cs="Times New Roman"/>
          <w:color w:val="auto"/>
          <w:kern w:val="2"/>
          <w:sz w:val="28"/>
          <w:szCs w:val="28"/>
          <w:lang w:val="en-US" w:eastAsia="zh-CN" w:bidi="ar"/>
        </w:rPr>
      </w:pPr>
      <w:r>
        <w:rPr>
          <w:rFonts w:hint="default"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9</w:t>
      </w:r>
      <w:r>
        <w:rPr>
          <w:rFonts w:hint="default" w:ascii="Times New Roman" w:hAnsi="Times New Roman" w:eastAsia="宋体" w:cs="Times New Roman"/>
          <w:color w:val="auto"/>
          <w:kern w:val="2"/>
          <w:sz w:val="28"/>
          <w:szCs w:val="28"/>
          <w:lang w:val="en-US" w:eastAsia="zh-CN" w:bidi="ar"/>
        </w:rPr>
        <w:t>）《陕西省水污染防治工作方案》（2015.12.30）</w:t>
      </w:r>
      <w:r>
        <w:rPr>
          <w:rFonts w:hint="eastAsia" w:ascii="Times New Roman" w:hAnsi="Times New Roman" w:cs="Times New Roman"/>
          <w:color w:val="auto"/>
          <w:kern w:val="2"/>
          <w:sz w:val="28"/>
          <w:szCs w:val="28"/>
          <w:lang w:val="en-US" w:eastAsia="zh-CN" w:bidi="ar"/>
        </w:rPr>
        <w:t>；</w:t>
      </w:r>
    </w:p>
    <w:p w14:paraId="70C712E9">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8"/>
          <w:szCs w:val="28"/>
          <w:lang w:val="en-US" w:eastAsia="zh-CN" w:bidi="ar"/>
        </w:rPr>
        <w:t>（1</w:t>
      </w:r>
      <w:r>
        <w:rPr>
          <w:rFonts w:hint="eastAsia" w:ascii="Times New Roman" w:hAnsi="Times New Roman" w:cs="Times New Roman"/>
          <w:color w:val="auto"/>
          <w:kern w:val="2"/>
          <w:sz w:val="28"/>
          <w:szCs w:val="28"/>
          <w:lang w:val="en-US" w:eastAsia="zh-CN" w:bidi="ar"/>
        </w:rPr>
        <w:t>0</w:t>
      </w:r>
      <w:r>
        <w:rPr>
          <w:rFonts w:hint="default"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水污染防治行动计划</w:t>
      </w:r>
      <w:r>
        <w:rPr>
          <w:rFonts w:hint="default"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国发[2015]17号</w:t>
      </w:r>
      <w:r>
        <w:rPr>
          <w:rFonts w:hint="default"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w:t>
      </w:r>
    </w:p>
    <w:p w14:paraId="63634BFB">
      <w:pPr>
        <w:keepNext w:val="0"/>
        <w:keepLines w:val="0"/>
        <w:widowControl w:val="0"/>
        <w:suppressLineNumbers w:val="0"/>
        <w:spacing w:before="0" w:beforeAutospacing="0" w:after="0" w:afterAutospacing="0" w:line="360" w:lineRule="auto"/>
        <w:ind w:left="0" w:right="0"/>
        <w:jc w:val="both"/>
        <w:rPr>
          <w:rFonts w:hint="eastAsia"/>
          <w:color w:val="auto"/>
          <w:kern w:val="0"/>
          <w:sz w:val="28"/>
          <w:szCs w:val="28"/>
          <w:lang w:val="en-US" w:eastAsia="zh-CN"/>
        </w:rPr>
      </w:pPr>
      <w:r>
        <w:rPr>
          <w:rFonts w:hint="default" w:ascii="Times New Roman" w:hAnsi="Times New Roman" w:eastAsia="宋体" w:cs="Times New Roman"/>
          <w:color w:val="auto"/>
          <w:kern w:val="2"/>
          <w:sz w:val="28"/>
          <w:szCs w:val="28"/>
          <w:lang w:val="en-US" w:eastAsia="zh-CN" w:bidi="ar"/>
        </w:rPr>
        <w:t>（1</w:t>
      </w:r>
      <w:r>
        <w:rPr>
          <w:rFonts w:hint="eastAsia" w:ascii="Times New Roman" w:hAnsi="Times New Roman" w:cs="Times New Roman"/>
          <w:color w:val="auto"/>
          <w:kern w:val="2"/>
          <w:sz w:val="28"/>
          <w:szCs w:val="28"/>
          <w:lang w:val="en-US" w:eastAsia="zh-CN" w:bidi="ar"/>
        </w:rPr>
        <w:t>1</w:t>
      </w:r>
      <w:r>
        <w:rPr>
          <w:rFonts w:hint="default" w:ascii="Times New Roman" w:hAnsi="Times New Roman" w:eastAsia="宋体" w:cs="Times New Roman"/>
          <w:color w:val="auto"/>
          <w:kern w:val="2"/>
          <w:sz w:val="28"/>
          <w:szCs w:val="28"/>
          <w:lang w:val="en-US" w:eastAsia="zh-CN" w:bidi="ar"/>
        </w:rPr>
        <w:t>）</w:t>
      </w:r>
      <w:r>
        <w:rPr>
          <w:rFonts w:hint="eastAsia"/>
          <w:color w:val="auto"/>
          <w:kern w:val="0"/>
          <w:sz w:val="28"/>
          <w:szCs w:val="28"/>
          <w:lang w:val="en-US" w:eastAsia="zh-CN"/>
        </w:rPr>
        <w:t>《陕西省生态环境厅关于推动乡镇级饮用水水源保护区划定工作的通知》（陕环水体函[2022]5号）</w:t>
      </w:r>
    </w:p>
    <w:p w14:paraId="34DDAEC7">
      <w:pPr>
        <w:keepNext w:val="0"/>
        <w:keepLines w:val="0"/>
        <w:widowControl w:val="0"/>
        <w:suppressLineNumbers w:val="0"/>
        <w:spacing w:before="0" w:beforeAutospacing="0" w:after="0" w:afterAutospacing="0" w:line="360" w:lineRule="auto"/>
        <w:ind w:left="0" w:right="0"/>
        <w:jc w:val="both"/>
        <w:rPr>
          <w:rFonts w:hint="default"/>
          <w:color w:val="auto"/>
          <w:kern w:val="0"/>
          <w:sz w:val="28"/>
          <w:szCs w:val="28"/>
          <w:lang w:val="en-US" w:eastAsia="zh-CN"/>
        </w:rPr>
      </w:pPr>
      <w:r>
        <w:rPr>
          <w:rFonts w:hint="eastAsia"/>
          <w:color w:val="auto"/>
          <w:kern w:val="0"/>
          <w:sz w:val="28"/>
          <w:szCs w:val="28"/>
          <w:lang w:val="en-US" w:eastAsia="zh-CN"/>
        </w:rPr>
        <w:t>（12）《陕西省地下水条例》（2016年4月1日施行）</w:t>
      </w:r>
    </w:p>
    <w:p w14:paraId="6E3152B7">
      <w:pPr>
        <w:pStyle w:val="10"/>
        <w:ind w:left="0" w:leftChars="0" w:firstLine="0" w:firstLineChars="0"/>
        <w:rPr>
          <w:rFonts w:hint="eastAsia" w:ascii="Times New Roman" w:hAnsi="Times New Roman" w:cs="Times New Roman"/>
          <w:color w:val="auto"/>
          <w:kern w:val="2"/>
          <w:sz w:val="28"/>
          <w:szCs w:val="28"/>
          <w:lang w:val="en-US" w:eastAsia="zh-CN" w:bidi="ar"/>
        </w:rPr>
      </w:pPr>
      <w:r>
        <w:rPr>
          <w:rFonts w:hint="eastAsia" w:ascii="Times New Roman" w:hAnsi="Times New Roman" w:cs="Times New Roman"/>
          <w:color w:val="auto"/>
          <w:kern w:val="2"/>
          <w:sz w:val="28"/>
          <w:szCs w:val="28"/>
          <w:lang w:val="en-US" w:eastAsia="zh-CN" w:bidi="ar"/>
        </w:rPr>
        <w:t>（13）《西安市城市饮用水源污染防治管理条例》（2010年9月29日实施）；</w:t>
      </w:r>
    </w:p>
    <w:p w14:paraId="75309046">
      <w:pPr>
        <w:bidi w:val="0"/>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（14）《西安市水污染防治工作方案》（2016年8月5日）</w:t>
      </w:r>
    </w:p>
    <w:p w14:paraId="46764D76">
      <w:pPr>
        <w:pStyle w:val="5"/>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1.2.2</w:t>
      </w:r>
      <w:r>
        <w:rPr>
          <w:rFonts w:hint="default" w:ascii="Times New Roman" w:hAnsi="Times New Roman" w:cs="Times New Roman"/>
          <w:color w:val="auto"/>
          <w:highlight w:val="none"/>
          <w:lang w:val="en-US" w:eastAsia="zh-CN"/>
        </w:rPr>
        <w:t>相关已经批准实施的规划</w:t>
      </w:r>
    </w:p>
    <w:p w14:paraId="44FB7109">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（1）《陕西省国民经济和社会发展第十四个五年规划和二〇三五年远景目标纲要》，陕西省人民政府</w:t>
      </w:r>
      <w:r>
        <w:rPr>
          <w:rFonts w:hint="eastAsia" w:ascii="Times New Roman" w:hAnsi="Times New Roman" w:cs="Times New Roman"/>
          <w:color w:val="auto"/>
          <w:kern w:val="2"/>
          <w:sz w:val="28"/>
          <w:szCs w:val="28"/>
          <w:lang w:val="en-US" w:eastAsia="zh-CN" w:bidi="ar"/>
        </w:rPr>
        <w:t>；</w:t>
      </w:r>
    </w:p>
    <w:p w14:paraId="5F8F65D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8"/>
          <w:szCs w:val="28"/>
          <w:lang w:val="en-US" w:eastAsia="zh-CN" w:bidi="ar"/>
        </w:rPr>
      </w:pPr>
      <w:r>
        <w:rPr>
          <w:rFonts w:hint="default" w:ascii="Times New Roman" w:hAnsi="Times New Roman" w:eastAsia="宋体" w:cs="Times New Roman"/>
          <w:color w:val="auto"/>
          <w:kern w:val="2"/>
          <w:sz w:val="28"/>
          <w:szCs w:val="28"/>
          <w:lang w:val="en-US" w:eastAsia="zh-CN" w:bidi="ar"/>
        </w:rPr>
        <w:t>（2）《陕西省“十</w:t>
      </w:r>
      <w:r>
        <w:rPr>
          <w:rFonts w:hint="eastAsia" w:ascii="Times New Roman" w:hAnsi="Times New Roman" w:cs="Times New Roman"/>
          <w:color w:val="auto"/>
          <w:kern w:val="2"/>
          <w:sz w:val="28"/>
          <w:szCs w:val="28"/>
          <w:lang w:val="en-US" w:eastAsia="zh-CN" w:bidi="ar"/>
        </w:rPr>
        <w:t>四</w:t>
      </w:r>
      <w:r>
        <w:rPr>
          <w:rFonts w:hint="default" w:ascii="Times New Roman" w:hAnsi="Times New Roman" w:eastAsia="宋体" w:cs="Times New Roman"/>
          <w:color w:val="auto"/>
          <w:kern w:val="2"/>
          <w:sz w:val="28"/>
          <w:szCs w:val="28"/>
          <w:lang w:val="en-US" w:eastAsia="zh-CN" w:bidi="ar"/>
        </w:rPr>
        <w:t>五”</w:t>
      </w:r>
      <w:r>
        <w:rPr>
          <w:rFonts w:hint="eastAsia" w:ascii="Times New Roman" w:hAnsi="Times New Roman" w:cs="Times New Roman"/>
          <w:color w:val="auto"/>
          <w:kern w:val="2"/>
          <w:sz w:val="28"/>
          <w:szCs w:val="28"/>
          <w:lang w:val="en-US" w:eastAsia="zh-CN" w:bidi="ar"/>
        </w:rPr>
        <w:t>生态</w:t>
      </w:r>
      <w:r>
        <w:rPr>
          <w:rFonts w:hint="default" w:ascii="Times New Roman" w:hAnsi="Times New Roman" w:eastAsia="宋体" w:cs="Times New Roman"/>
          <w:color w:val="auto"/>
          <w:kern w:val="2"/>
          <w:sz w:val="28"/>
          <w:szCs w:val="28"/>
          <w:lang w:val="en-US" w:eastAsia="zh-CN" w:bidi="ar"/>
        </w:rPr>
        <w:t>环境保护规划》（20</w:t>
      </w:r>
      <w:r>
        <w:rPr>
          <w:rFonts w:hint="eastAsia" w:ascii="Times New Roman" w:hAnsi="Times New Roman" w:cs="Times New Roman"/>
          <w:color w:val="auto"/>
          <w:kern w:val="2"/>
          <w:sz w:val="28"/>
          <w:szCs w:val="28"/>
          <w:lang w:val="en-US" w:eastAsia="zh-CN" w:bidi="ar"/>
        </w:rPr>
        <w:t>21</w:t>
      </w:r>
      <w:r>
        <w:rPr>
          <w:rFonts w:hint="default" w:ascii="Times New Roman" w:hAnsi="Times New Roman" w:eastAsia="宋体" w:cs="Times New Roman"/>
          <w:color w:val="auto"/>
          <w:kern w:val="2"/>
          <w:sz w:val="28"/>
          <w:szCs w:val="28"/>
          <w:lang w:val="en-US" w:eastAsia="zh-CN" w:bidi="ar"/>
        </w:rPr>
        <w:t>年）</w:t>
      </w:r>
      <w:r>
        <w:rPr>
          <w:rFonts w:hint="eastAsia" w:ascii="Times New Roman" w:hAnsi="Times New Roman" w:cs="Times New Roman"/>
          <w:color w:val="auto"/>
          <w:kern w:val="2"/>
          <w:sz w:val="28"/>
          <w:szCs w:val="28"/>
          <w:lang w:val="en-US" w:eastAsia="zh-CN" w:bidi="ar"/>
        </w:rPr>
        <w:t>；</w:t>
      </w:r>
    </w:p>
    <w:p w14:paraId="382E837A">
      <w:pPr>
        <w:pStyle w:val="10"/>
        <w:ind w:left="0" w:leftChars="0" w:firstLine="0" w:firstLineChars="0"/>
        <w:rPr>
          <w:rFonts w:hint="default" w:ascii="Times New Roman" w:hAnsi="Times New Roman" w:cs="Times New Roman"/>
          <w:color w:val="auto"/>
          <w:lang w:val="en-US"/>
        </w:rPr>
      </w:pPr>
      <w:r>
        <w:rPr>
          <w:rFonts w:hint="default" w:ascii="Times New Roman" w:hAnsi="Times New Roman" w:eastAsia="宋体" w:cs="Times New Roman"/>
          <w:color w:val="auto"/>
          <w:kern w:val="2"/>
          <w:sz w:val="28"/>
          <w:szCs w:val="28"/>
          <w:lang w:val="en-US" w:eastAsia="zh-CN" w:bidi="ar"/>
        </w:rPr>
        <w:t>（3）《陕西省城市饮用水水源地环境保护规划》（2008.01）</w:t>
      </w:r>
      <w:r>
        <w:rPr>
          <w:rFonts w:hint="eastAsia" w:ascii="Times New Roman" w:hAnsi="Times New Roman" w:cs="Times New Roman"/>
          <w:color w:val="auto"/>
          <w:kern w:val="2"/>
          <w:sz w:val="28"/>
          <w:szCs w:val="28"/>
          <w:lang w:val="en-US" w:eastAsia="zh-CN" w:bidi="ar"/>
        </w:rPr>
        <w:t>；</w:t>
      </w:r>
    </w:p>
    <w:p w14:paraId="70F92AE8">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kern w:val="2"/>
          <w:sz w:val="28"/>
          <w:szCs w:val="28"/>
          <w:lang w:val="en-US" w:eastAsia="zh-CN" w:bidi="ar"/>
        </w:rPr>
      </w:pPr>
      <w:r>
        <w:rPr>
          <w:rFonts w:hint="default"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4</w:t>
      </w:r>
      <w:r>
        <w:rPr>
          <w:rFonts w:hint="default"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西安市“十四五”水务发展规划</w:t>
      </w:r>
      <w:r>
        <w:rPr>
          <w:rFonts w:hint="default" w:ascii="Times New Roman" w:hAnsi="Times New Roman" w:eastAsia="宋体" w:cs="Times New Roman"/>
          <w:color w:val="auto"/>
          <w:kern w:val="2"/>
          <w:sz w:val="28"/>
          <w:szCs w:val="28"/>
          <w:lang w:val="en-US" w:eastAsia="zh-CN" w:bidi="ar"/>
        </w:rPr>
        <w:t>》</w:t>
      </w:r>
      <w:r>
        <w:rPr>
          <w:rFonts w:hint="eastAsia" w:ascii="Times New Roman" w:hAnsi="Times New Roman" w:eastAsia="宋体" w:cs="Times New Roman"/>
          <w:color w:val="auto"/>
          <w:kern w:val="2"/>
          <w:sz w:val="28"/>
          <w:szCs w:val="28"/>
          <w:lang w:val="en-US" w:eastAsia="zh-CN" w:bidi="ar"/>
        </w:rPr>
        <w:t>；</w:t>
      </w:r>
    </w:p>
    <w:p w14:paraId="33CD602A">
      <w:pPr>
        <w:keepNext w:val="0"/>
        <w:keepLines w:val="0"/>
        <w:widowControl w:val="0"/>
        <w:suppressLineNumbers w:val="0"/>
        <w:spacing w:before="0" w:beforeAutospacing="0" w:after="0" w:afterAutospacing="0" w:line="360" w:lineRule="auto"/>
        <w:ind w:left="0" w:right="0"/>
        <w:jc w:val="both"/>
        <w:rPr>
          <w:rFonts w:hint="eastAsia" w:ascii="Times New Roman" w:hAnsi="Times New Roman"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5</w:t>
      </w:r>
      <w:r>
        <w:rPr>
          <w:rFonts w:hint="eastAsia" w:ascii="Times New Roman" w:hAnsi="Times New Roman" w:eastAsia="宋体" w:cs="Times New Roman"/>
          <w:color w:val="auto"/>
          <w:kern w:val="2"/>
          <w:sz w:val="28"/>
          <w:szCs w:val="28"/>
          <w:lang w:val="en-US" w:eastAsia="zh-CN" w:bidi="ar"/>
        </w:rPr>
        <w:t>）《西安市国民经济和社会发展第十四个五年规划和二○三五年远景目标纲要》</w:t>
      </w:r>
      <w:r>
        <w:rPr>
          <w:rFonts w:hint="default"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西安市</w:t>
      </w:r>
      <w:r>
        <w:rPr>
          <w:rFonts w:hint="default" w:ascii="Times New Roman" w:hAnsi="Times New Roman" w:eastAsia="宋体" w:cs="Times New Roman"/>
          <w:color w:val="auto"/>
          <w:kern w:val="2"/>
          <w:sz w:val="28"/>
          <w:szCs w:val="28"/>
          <w:lang w:val="en-US" w:eastAsia="zh-CN" w:bidi="ar"/>
        </w:rPr>
        <w:t>人民政府</w:t>
      </w:r>
      <w:r>
        <w:rPr>
          <w:rFonts w:hint="eastAsia" w:ascii="Times New Roman" w:hAnsi="Times New Roman" w:cs="Times New Roman"/>
          <w:color w:val="auto"/>
          <w:kern w:val="2"/>
          <w:sz w:val="28"/>
          <w:szCs w:val="28"/>
          <w:lang w:val="en-US" w:eastAsia="zh-CN" w:bidi="ar"/>
        </w:rPr>
        <w:t>；</w:t>
      </w:r>
    </w:p>
    <w:p w14:paraId="450080A9">
      <w:pPr>
        <w:pStyle w:val="1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（6）《西安市城市饮用水水源建设与保护规划》（2011年11月）</w:t>
      </w:r>
    </w:p>
    <w:p w14:paraId="47A0DFA9">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1.2.3</w:t>
      </w:r>
      <w:r>
        <w:rPr>
          <w:rFonts w:hint="default" w:ascii="Times New Roman" w:hAnsi="Times New Roman" w:cs="Times New Roman"/>
          <w:color w:val="auto"/>
          <w:lang w:val="en-US" w:eastAsia="zh-CN"/>
        </w:rPr>
        <w:t>相关技术规范</w:t>
      </w:r>
    </w:p>
    <w:p w14:paraId="3379EB3B">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（1）《饮用水水源保护区标志技术要求》（HJ/T 433-2008）； </w:t>
      </w:r>
    </w:p>
    <w:p w14:paraId="3601E09D">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（2）《地下水质量标准》（GB/T 14848-2017）；</w:t>
      </w:r>
    </w:p>
    <w:p w14:paraId="3914620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8"/>
          <w:szCs w:val="28"/>
          <w:lang w:val="en-US" w:eastAsia="zh-CN" w:bidi="ar"/>
        </w:rPr>
      </w:pPr>
      <w:r>
        <w:rPr>
          <w:rFonts w:hint="default" w:ascii="Times New Roman" w:hAnsi="Times New Roman" w:eastAsia="宋体" w:cs="Times New Roman"/>
          <w:color w:val="auto"/>
          <w:kern w:val="2"/>
          <w:sz w:val="28"/>
          <w:szCs w:val="28"/>
          <w:lang w:val="en-US" w:eastAsia="zh-CN" w:bidi="ar"/>
        </w:rPr>
        <w:t>（3）《饮用水水源保护区划分技术规范》（HJ338-2018）；</w:t>
      </w:r>
    </w:p>
    <w:p w14:paraId="7F05020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2"/>
          <w:sz w:val="28"/>
          <w:szCs w:val="28"/>
          <w:lang w:val="en-US" w:eastAsia="zh-CN" w:bidi="ar"/>
        </w:rPr>
        <w:t>（4）</w:t>
      </w:r>
      <w:r>
        <w:rPr>
          <w:rFonts w:hint="default" w:ascii="Times New Roman" w:hAnsi="Times New Roman" w:eastAsia="宋体" w:cs="Times New Roman"/>
          <w:color w:val="auto"/>
          <w:kern w:val="0"/>
          <w:sz w:val="28"/>
          <w:szCs w:val="28"/>
          <w:lang w:val="en-US" w:eastAsia="zh-CN" w:bidi="ar"/>
        </w:rPr>
        <w:t>《集中式饮用水水源地规范化建设环境保护技术要求》（</w:t>
      </w:r>
      <w:r>
        <w:rPr>
          <w:rFonts w:hint="default" w:ascii="Times New Roman" w:hAnsi="Times New Roman" w:eastAsia="宋体" w:cs="Times New Roman"/>
          <w:color w:val="auto"/>
          <w:kern w:val="0"/>
          <w:sz w:val="28"/>
          <w:szCs w:val="28"/>
          <w:highlight w:val="none"/>
          <w:lang w:val="en-US" w:eastAsia="zh-CN" w:bidi="ar"/>
        </w:rPr>
        <w:t>HJ773-2015</w:t>
      </w:r>
      <w:r>
        <w:rPr>
          <w:rFonts w:hint="default" w:ascii="Times New Roman" w:hAnsi="Times New Roman" w:eastAsia="宋体" w:cs="Times New Roman"/>
          <w:color w:val="auto"/>
          <w:kern w:val="0"/>
          <w:sz w:val="28"/>
          <w:szCs w:val="28"/>
          <w:lang w:val="en-US" w:eastAsia="zh-CN" w:bidi="ar"/>
        </w:rPr>
        <w:t>）；</w:t>
      </w:r>
    </w:p>
    <w:p w14:paraId="47889DD9">
      <w:pPr>
        <w:keepNext w:val="0"/>
        <w:keepLines w:val="0"/>
        <w:widowControl w:val="0"/>
        <w:suppressLineNumbers w:val="0"/>
        <w:spacing w:before="0" w:beforeAutospacing="0" w:after="0" w:afterAutospacing="0" w:line="360" w:lineRule="auto"/>
        <w:ind w:left="0" w:right="0"/>
        <w:jc w:val="both"/>
        <w:rPr>
          <w:rFonts w:hint="eastAsia" w:ascii="Times New Roman" w:hAnsi="Times New Roman" w:cs="Times New Roman"/>
          <w:color w:val="auto"/>
          <w:kern w:val="0"/>
          <w:sz w:val="28"/>
          <w:szCs w:val="28"/>
          <w:lang w:val="en-US" w:eastAsia="zh-CN" w:bidi="ar"/>
        </w:rPr>
      </w:pPr>
      <w:r>
        <w:rPr>
          <w:rFonts w:hint="eastAsia" w:ascii="Times New Roman" w:hAnsi="Times New Roman" w:cs="Times New Roman"/>
          <w:color w:val="auto"/>
          <w:kern w:val="0"/>
          <w:sz w:val="28"/>
          <w:szCs w:val="28"/>
          <w:lang w:val="en-US" w:eastAsia="zh-CN" w:bidi="ar"/>
        </w:rPr>
        <w:t>（5）《集中式饮用水水源环境保护指南（试行）》（环办[2012]50号）；</w:t>
      </w:r>
    </w:p>
    <w:p w14:paraId="7E6CFFA6">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kern w:val="0"/>
          <w:sz w:val="28"/>
          <w:szCs w:val="28"/>
          <w:lang w:val="en-US" w:eastAsia="zh-CN" w:bidi="ar"/>
        </w:rPr>
      </w:pPr>
      <w:r>
        <w:rPr>
          <w:rFonts w:hint="eastAsia" w:ascii="Times New Roman" w:hAnsi="Times New Roman" w:cs="Times New Roman"/>
          <w:color w:val="auto"/>
          <w:kern w:val="0"/>
          <w:sz w:val="28"/>
          <w:szCs w:val="28"/>
          <w:lang w:val="en-US" w:eastAsia="zh-CN" w:bidi="ar"/>
        </w:rPr>
        <w:t>（6）《地下水环境监测技术规范》（HJ164-2020）;</w:t>
      </w:r>
    </w:p>
    <w:p w14:paraId="603CC726">
      <w:pPr>
        <w:pStyle w:val="10"/>
        <w:ind w:left="0" w:leftChars="0" w:firstLine="0" w:firstLineChars="0"/>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7</w:t>
      </w:r>
      <w:r>
        <w:rPr>
          <w:rFonts w:hint="eastAsia" w:ascii="Times New Roman" w:hAnsi="Times New Roman" w:eastAsia="宋体" w:cs="Times New Roman"/>
          <w:color w:val="auto"/>
          <w:kern w:val="2"/>
          <w:sz w:val="28"/>
          <w:szCs w:val="28"/>
          <w:lang w:val="en-US" w:eastAsia="zh-CN" w:bidi="ar"/>
        </w:rPr>
        <w:t>）《生活饮用水水源水质标准》（CJ3020-93）</w:t>
      </w:r>
    </w:p>
    <w:p w14:paraId="30FA26D7">
      <w:pPr>
        <w:bidi w:val="0"/>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8</w:t>
      </w:r>
      <w:r>
        <w:rPr>
          <w:rFonts w:hint="eastAsia" w:ascii="Times New Roman" w:hAnsi="Times New Roman" w:eastAsia="宋体" w:cs="Times New Roman"/>
          <w:color w:val="auto"/>
          <w:kern w:val="2"/>
          <w:sz w:val="28"/>
          <w:szCs w:val="28"/>
          <w:lang w:val="en-US" w:eastAsia="zh-CN" w:bidi="ar"/>
        </w:rPr>
        <w:t>）《城市供水水质标准》（CJ/T206-2005）</w:t>
      </w:r>
    </w:p>
    <w:p w14:paraId="185EBDDC">
      <w:pPr>
        <w:bidi w:val="0"/>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w:t>
      </w:r>
      <w:r>
        <w:rPr>
          <w:rFonts w:hint="eastAsia" w:ascii="Times New Roman" w:hAnsi="Times New Roman" w:cs="Times New Roman"/>
          <w:color w:val="auto"/>
          <w:kern w:val="2"/>
          <w:sz w:val="28"/>
          <w:szCs w:val="28"/>
          <w:lang w:val="en-US" w:eastAsia="zh-CN" w:bidi="ar"/>
        </w:rPr>
        <w:t>9</w:t>
      </w:r>
      <w:r>
        <w:rPr>
          <w:rFonts w:hint="eastAsia" w:ascii="Times New Roman" w:hAnsi="Times New Roman" w:eastAsia="宋体" w:cs="Times New Roman"/>
          <w:color w:val="auto"/>
          <w:kern w:val="2"/>
          <w:sz w:val="28"/>
          <w:szCs w:val="28"/>
          <w:lang w:val="en-US" w:eastAsia="zh-CN" w:bidi="ar"/>
        </w:rPr>
        <w:t>）《村镇集中饮用水源保护区划分技术规范》（DB61/335-2003）</w:t>
      </w:r>
    </w:p>
    <w:p w14:paraId="4C8472A9">
      <w:pPr>
        <w:pStyle w:val="10"/>
        <w:ind w:left="0" w:leftChars="0" w:firstLine="0" w:firstLineChars="0"/>
        <w:rPr>
          <w:rFonts w:hint="eastAsia" w:ascii="Times New Roman" w:hAnsi="Times New Roman" w:cs="Times New Roman"/>
          <w:color w:val="auto"/>
          <w:kern w:val="2"/>
          <w:sz w:val="28"/>
          <w:szCs w:val="28"/>
          <w:lang w:val="en-US" w:eastAsia="zh-CN" w:bidi="ar"/>
        </w:rPr>
      </w:pPr>
      <w:r>
        <w:rPr>
          <w:rFonts w:hint="eastAsia" w:ascii="Times New Roman" w:hAnsi="Times New Roman" w:cs="Times New Roman"/>
          <w:color w:val="auto"/>
          <w:kern w:val="2"/>
          <w:sz w:val="28"/>
          <w:szCs w:val="28"/>
          <w:lang w:val="en-US" w:eastAsia="zh-CN" w:bidi="ar"/>
        </w:rPr>
        <w:t>（10）《集中式饮用水水源地环境保护状况评估技术规范》（HJ774-2015）；</w:t>
      </w:r>
    </w:p>
    <w:p w14:paraId="15060E10">
      <w:pPr>
        <w:bidi w:val="0"/>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（1</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lang w:val="en-US" w:eastAsia="zh-CN"/>
        </w:rPr>
        <w:t>）《集中式地表水饮用水水源地突发环境事件应急预案编制指南(试行)》;</w:t>
      </w:r>
    </w:p>
    <w:p w14:paraId="31064FBE">
      <w:pPr>
        <w:bidi w:val="0"/>
        <w:rPr>
          <w:rFonts w:hint="default" w:ascii="Times New Roman" w:hAnsi="Times New Roman" w:cs="Times New Roman"/>
          <w:bCs/>
          <w:color w:val="auto"/>
          <w:sz w:val="28"/>
          <w:szCs w:val="28"/>
          <w:lang w:val="en-US" w:eastAsia="zh-CN"/>
        </w:rPr>
      </w:pPr>
      <w:r>
        <w:rPr>
          <w:rFonts w:hint="default"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lang w:val="en-US" w:eastAsia="zh-CN"/>
        </w:rPr>
        <w:t>）《供水水文地质勘察规范》（GB50027-2001）;</w:t>
      </w:r>
    </w:p>
    <w:p w14:paraId="7754FA24">
      <w:pPr>
        <w:pStyle w:val="4"/>
        <w:widowControl/>
        <w:outlineLvl w:val="1"/>
        <w:rPr>
          <w:rFonts w:hint="default" w:ascii="Times New Roman" w:hAnsi="Times New Roman" w:cs="Times New Roman"/>
          <w:color w:val="auto"/>
          <w:lang w:val="en-US"/>
        </w:rPr>
      </w:pPr>
      <w:bookmarkStart w:id="16" w:name="_Toc463685503"/>
      <w:bookmarkStart w:id="17" w:name="_Toc456351916"/>
      <w:bookmarkStart w:id="18" w:name="_Toc456339250"/>
      <w:bookmarkStart w:id="19" w:name="_Toc456352042"/>
      <w:bookmarkStart w:id="20" w:name="_Toc25286"/>
      <w:bookmarkStart w:id="21" w:name="_Toc462134844"/>
      <w:r>
        <w:rPr>
          <w:rFonts w:hint="default" w:ascii="Times New Roman" w:hAnsi="Times New Roman" w:cs="Times New Roman"/>
          <w:color w:val="auto"/>
          <w:lang w:val="en-US"/>
        </w:rPr>
        <w:t>1.</w:t>
      </w:r>
      <w:r>
        <w:rPr>
          <w:rFonts w:hint="eastAsia" w:cs="Times New Roman"/>
          <w:color w:val="auto"/>
          <w:lang w:val="en-US" w:eastAsia="zh-CN"/>
        </w:rPr>
        <w:t>3</w:t>
      </w:r>
      <w:r>
        <w:rPr>
          <w:rFonts w:hint="default" w:ascii="Times New Roman" w:hAnsi="Times New Roman" w:cs="Times New Roman"/>
          <w:color w:val="auto"/>
          <w:lang w:val="en-US"/>
        </w:rPr>
        <w:t xml:space="preserve"> </w:t>
      </w:r>
      <w:r>
        <w:rPr>
          <w:rFonts w:hint="default" w:ascii="Times New Roman" w:hAnsi="Times New Roman" w:eastAsia="宋体" w:cs="Times New Roman"/>
          <w:color w:val="auto"/>
          <w:lang w:eastAsia="zh-CN"/>
        </w:rPr>
        <w:t>技术路线</w:t>
      </w:r>
      <w:bookmarkEnd w:id="16"/>
      <w:bookmarkEnd w:id="17"/>
      <w:bookmarkEnd w:id="18"/>
      <w:bookmarkEnd w:id="19"/>
      <w:bookmarkEnd w:id="20"/>
      <w:bookmarkEnd w:id="21"/>
    </w:p>
    <w:p w14:paraId="40F67E1F">
      <w:pPr>
        <w:pStyle w:val="18"/>
        <w:keepNext w:val="0"/>
        <w:keepLines w:val="0"/>
        <w:widowControl/>
        <w:suppressLineNumbers w:val="0"/>
        <w:spacing w:before="0" w:beforeAutospacing="0" w:after="0" w:afterAutospacing="0" w:line="360" w:lineRule="auto"/>
        <w:ind w:left="0" w:right="0" w:firstLine="560" w:firstLineChars="200"/>
        <w:jc w:val="both"/>
        <w:rPr>
          <w:rFonts w:hint="default" w:ascii="Times New Roman" w:hAnsi="Times New Roman" w:cs="Times New Roman"/>
          <w:color w:val="auto"/>
          <w:sz w:val="28"/>
          <w:szCs w:val="28"/>
          <w:lang w:val="en-US"/>
        </w:rPr>
      </w:pPr>
      <w:r>
        <w:rPr>
          <w:rFonts w:hint="eastAsia" w:ascii="Times New Roman" w:hAnsi="Times New Roman" w:cs="Times New Roman"/>
          <w:color w:val="auto"/>
          <w:kern w:val="0"/>
          <w:sz w:val="28"/>
          <w:szCs w:val="28"/>
          <w:lang w:val="en-US" w:eastAsia="zh-CN" w:bidi="ar"/>
        </w:rPr>
        <w:t>本次水源地划分</w:t>
      </w:r>
      <w:r>
        <w:rPr>
          <w:rFonts w:hint="default" w:ascii="Times New Roman" w:hAnsi="Times New Roman" w:eastAsia="宋体" w:cs="Times New Roman"/>
          <w:color w:val="auto"/>
          <w:kern w:val="0"/>
          <w:sz w:val="28"/>
          <w:szCs w:val="28"/>
          <w:lang w:val="en-US" w:eastAsia="zh-CN" w:bidi="ar"/>
        </w:rPr>
        <w:t>按照以下技术路线开展工作：</w:t>
      </w:r>
    </w:p>
    <w:p w14:paraId="0D755DE1">
      <w:pPr>
        <w:keepNext w:val="0"/>
        <w:keepLines w:val="0"/>
        <w:widowControl w:val="0"/>
        <w:suppressLineNumbers w:val="0"/>
        <w:autoSpaceDE w:val="0"/>
        <w:autoSpaceDN w:val="0"/>
        <w:adjustRightInd w:val="0"/>
        <w:spacing w:before="0" w:beforeAutospacing="0" w:after="0" w:afterAutospacing="0"/>
        <w:ind w:left="0" w:right="0" w:firstLine="560" w:firstLineChars="200"/>
        <w:jc w:val="left"/>
        <w:rPr>
          <w:rFonts w:hint="default" w:ascii="Times New Roman" w:hAnsi="Times New Roman" w:cs="Times New Roman"/>
          <w:color w:val="auto"/>
          <w:kern w:val="0"/>
          <w:sz w:val="28"/>
          <w:szCs w:val="28"/>
          <w:lang w:val="en-US"/>
        </w:rPr>
      </w:pPr>
      <w:r>
        <w:rPr>
          <w:rFonts w:hint="default" w:ascii="Times New Roman" w:hAnsi="Times New Roman" w:eastAsia="宋体" w:cs="Times New Roman"/>
          <w:color w:val="auto"/>
          <w:kern w:val="0"/>
          <w:sz w:val="28"/>
          <w:szCs w:val="28"/>
          <w:lang w:val="en-US" w:eastAsia="zh-CN" w:bidi="ar"/>
        </w:rPr>
        <w:t>1、开展饮用水水源地</w:t>
      </w:r>
      <w:r>
        <w:rPr>
          <w:rFonts w:hint="eastAsia" w:ascii="Times New Roman" w:hAnsi="Times New Roman" w:cs="Times New Roman"/>
          <w:color w:val="auto"/>
          <w:kern w:val="0"/>
          <w:sz w:val="28"/>
          <w:szCs w:val="28"/>
          <w:lang w:val="en-US" w:eastAsia="zh-CN" w:bidi="ar"/>
        </w:rPr>
        <w:t>水量</w:t>
      </w:r>
      <w:r>
        <w:rPr>
          <w:rFonts w:hint="default" w:ascii="Times New Roman" w:hAnsi="Times New Roman" w:eastAsia="宋体" w:cs="Times New Roman"/>
          <w:color w:val="auto"/>
          <w:kern w:val="0"/>
          <w:sz w:val="28"/>
          <w:szCs w:val="28"/>
          <w:lang w:val="en-US" w:eastAsia="zh-CN" w:bidi="ar"/>
        </w:rPr>
        <w:t>水质状况、环境管理状况调查，分析水源地存在的水质和管理问题，识别水源地主要环境问题和环境风险的情况，作为保护区划分</w:t>
      </w:r>
      <w:r>
        <w:rPr>
          <w:rFonts w:hint="eastAsia" w:ascii="Times New Roman" w:hAnsi="Times New Roman" w:cs="Times New Roman"/>
          <w:color w:val="auto"/>
          <w:kern w:val="0"/>
          <w:sz w:val="28"/>
          <w:szCs w:val="28"/>
          <w:lang w:val="en-US" w:eastAsia="zh-CN" w:bidi="ar"/>
        </w:rPr>
        <w:t>调整</w:t>
      </w:r>
      <w:r>
        <w:rPr>
          <w:rFonts w:hint="default" w:ascii="Times New Roman" w:hAnsi="Times New Roman" w:eastAsia="宋体" w:cs="Times New Roman"/>
          <w:color w:val="auto"/>
          <w:kern w:val="0"/>
          <w:sz w:val="28"/>
          <w:szCs w:val="28"/>
          <w:lang w:val="en-US" w:eastAsia="zh-CN" w:bidi="ar"/>
        </w:rPr>
        <w:t>的基础资料。</w:t>
      </w:r>
    </w:p>
    <w:p w14:paraId="44D5563D">
      <w:pPr>
        <w:keepNext w:val="0"/>
        <w:keepLines w:val="0"/>
        <w:widowControl w:val="0"/>
        <w:suppressLineNumbers w:val="0"/>
        <w:autoSpaceDE w:val="0"/>
        <w:autoSpaceDN w:val="0"/>
        <w:adjustRightInd w:val="0"/>
        <w:spacing w:before="0" w:beforeAutospacing="0" w:after="0" w:afterAutospacing="0"/>
        <w:ind w:left="0" w:right="0" w:firstLine="560" w:firstLineChars="200"/>
        <w:jc w:val="left"/>
        <w:rPr>
          <w:rFonts w:hint="default" w:ascii="Times New Roman" w:hAnsi="Times New Roman" w:cs="Times New Roman"/>
          <w:color w:val="auto"/>
          <w:kern w:val="0"/>
          <w:sz w:val="28"/>
          <w:szCs w:val="28"/>
          <w:lang w:val="en-US"/>
        </w:rPr>
      </w:pPr>
      <w:r>
        <w:rPr>
          <w:rFonts w:hint="default" w:ascii="Times New Roman" w:hAnsi="Times New Roman" w:eastAsia="宋体" w:cs="Times New Roman"/>
          <w:color w:val="auto"/>
          <w:kern w:val="0"/>
          <w:sz w:val="28"/>
          <w:szCs w:val="28"/>
          <w:lang w:val="en-US" w:eastAsia="zh-CN" w:bidi="ar"/>
        </w:rPr>
        <w:t>2、依据不同水源地类型、取水规模、污染源分布状况、主要污染特征等技术资料的详尽程度，结合环境管理现状及要求，筛选出适宜的保护区划分方法，</w:t>
      </w:r>
      <w:r>
        <w:rPr>
          <w:rFonts w:hint="default" w:ascii="Times New Roman" w:hAnsi="Times New Roman" w:eastAsia="宋体" w:cs="Times New Roman"/>
          <w:color w:val="auto"/>
          <w:kern w:val="0"/>
          <w:sz w:val="28"/>
          <w:szCs w:val="28"/>
          <w:highlight w:val="none"/>
          <w:lang w:val="en-US" w:eastAsia="zh-CN" w:bidi="ar"/>
        </w:rPr>
        <w:t>通过计算分析，</w:t>
      </w:r>
      <w:r>
        <w:rPr>
          <w:rFonts w:hint="default" w:ascii="Times New Roman" w:hAnsi="Times New Roman" w:eastAsia="宋体" w:cs="Times New Roman"/>
          <w:color w:val="auto"/>
          <w:kern w:val="0"/>
          <w:sz w:val="28"/>
          <w:szCs w:val="28"/>
          <w:lang w:val="en-US" w:eastAsia="zh-CN" w:bidi="ar"/>
        </w:rPr>
        <w:t>合理确定各级保护区的范围，并初步确定保护区边界主要拐点的经纬度坐标和边界线。</w:t>
      </w:r>
    </w:p>
    <w:p w14:paraId="597D13D2">
      <w:pPr>
        <w:keepNext w:val="0"/>
        <w:keepLines w:val="0"/>
        <w:widowControl w:val="0"/>
        <w:suppressLineNumbers w:val="0"/>
        <w:autoSpaceDE w:val="0"/>
        <w:autoSpaceDN w:val="0"/>
        <w:adjustRightInd w:val="0"/>
        <w:spacing w:before="0" w:beforeAutospacing="0" w:after="0" w:afterAutospacing="0"/>
        <w:ind w:left="0" w:right="0" w:firstLine="560" w:firstLineChars="200"/>
        <w:jc w:val="left"/>
        <w:rPr>
          <w:rFonts w:hint="default" w:ascii="Times New Roman" w:hAnsi="Times New Roman" w:cs="Times New Roman"/>
          <w:color w:val="auto"/>
          <w:kern w:val="0"/>
          <w:sz w:val="28"/>
          <w:szCs w:val="28"/>
          <w:lang w:val="en-US"/>
        </w:rPr>
      </w:pPr>
      <w:r>
        <w:rPr>
          <w:rFonts w:hint="default" w:ascii="Times New Roman" w:hAnsi="Times New Roman" w:eastAsia="宋体" w:cs="Times New Roman"/>
          <w:color w:val="auto"/>
          <w:kern w:val="0"/>
          <w:sz w:val="28"/>
          <w:szCs w:val="28"/>
          <w:lang w:val="en-US" w:eastAsia="zh-CN" w:bidi="ar"/>
        </w:rPr>
        <w:t>3、编制饮用水水源保护区划分调整技术报告，完成保护区划分调整方案。</w:t>
      </w:r>
    </w:p>
    <w:p w14:paraId="6C2360F3">
      <w:pPr>
        <w:keepNext w:val="0"/>
        <w:keepLines w:val="0"/>
        <w:widowControl w:val="0"/>
        <w:suppressLineNumbers w:val="0"/>
        <w:autoSpaceDE w:val="0"/>
        <w:autoSpaceDN w:val="0"/>
        <w:adjustRightInd w:val="0"/>
        <w:spacing w:before="0" w:beforeAutospacing="0" w:after="0" w:afterAutospacing="0"/>
        <w:ind w:left="0" w:right="0" w:firstLine="560" w:firstLineChars="200"/>
        <w:jc w:val="left"/>
        <w:rPr>
          <w:rFonts w:hint="default" w:ascii="Times New Roman" w:hAnsi="Times New Roman" w:cs="Times New Roman"/>
          <w:color w:val="auto"/>
          <w:kern w:val="0"/>
          <w:sz w:val="28"/>
          <w:szCs w:val="28"/>
          <w:lang w:val="en-US"/>
        </w:rPr>
      </w:pPr>
      <w:r>
        <w:rPr>
          <w:rFonts w:hint="default" w:ascii="Times New Roman" w:hAnsi="Times New Roman" w:eastAsia="宋体" w:cs="Times New Roman"/>
          <w:color w:val="auto"/>
          <w:kern w:val="0"/>
          <w:sz w:val="28"/>
          <w:szCs w:val="28"/>
          <w:lang w:val="en-US" w:eastAsia="zh-CN" w:bidi="ar"/>
        </w:rPr>
        <w:t>4、组织专家对保护区划分</w:t>
      </w:r>
      <w:r>
        <w:rPr>
          <w:rFonts w:hint="eastAsia" w:ascii="Times New Roman" w:hAnsi="Times New Roman" w:cs="Times New Roman"/>
          <w:color w:val="auto"/>
          <w:kern w:val="0"/>
          <w:sz w:val="28"/>
          <w:szCs w:val="28"/>
          <w:lang w:val="en-US" w:eastAsia="zh-CN" w:bidi="ar"/>
        </w:rPr>
        <w:t>调整</w:t>
      </w:r>
      <w:r>
        <w:rPr>
          <w:rFonts w:hint="default" w:ascii="Times New Roman" w:hAnsi="Times New Roman" w:eastAsia="宋体" w:cs="Times New Roman"/>
          <w:color w:val="auto"/>
          <w:kern w:val="0"/>
          <w:sz w:val="28"/>
          <w:szCs w:val="28"/>
          <w:lang w:val="en-US" w:eastAsia="zh-CN" w:bidi="ar"/>
        </w:rPr>
        <w:t>技术方案进行审议；</w:t>
      </w:r>
    </w:p>
    <w:p w14:paraId="137B230B">
      <w:pPr>
        <w:pStyle w:val="18"/>
        <w:keepNext w:val="0"/>
        <w:keepLines w:val="0"/>
        <w:widowControl/>
        <w:suppressLineNumbers w:val="0"/>
        <w:spacing w:before="0" w:beforeAutospacing="0" w:after="0" w:afterAutospacing="0" w:line="360" w:lineRule="auto"/>
        <w:ind w:left="0" w:right="0" w:firstLine="560" w:firstLineChars="20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0"/>
          <w:sz w:val="28"/>
          <w:szCs w:val="28"/>
          <w:lang w:val="en-US" w:eastAsia="zh-CN" w:bidi="ar"/>
        </w:rPr>
        <w:t>5、进行保护区现场界定，最终确定主要拐点的</w:t>
      </w:r>
      <w:r>
        <w:rPr>
          <w:rFonts w:hint="eastAsia" w:ascii="Times New Roman" w:hAnsi="Times New Roman" w:cs="Times New Roman"/>
          <w:color w:val="auto"/>
          <w:kern w:val="0"/>
          <w:sz w:val="28"/>
          <w:szCs w:val="28"/>
          <w:highlight w:val="none"/>
          <w:lang w:val="en-US" w:eastAsia="zh-CN" w:bidi="ar"/>
        </w:rPr>
        <w:t>经纬度</w:t>
      </w:r>
      <w:r>
        <w:rPr>
          <w:rFonts w:hint="default" w:ascii="Times New Roman" w:hAnsi="Times New Roman" w:eastAsia="宋体" w:cs="Times New Roman"/>
          <w:color w:val="auto"/>
          <w:kern w:val="0"/>
          <w:sz w:val="28"/>
          <w:szCs w:val="28"/>
          <w:highlight w:val="none"/>
          <w:lang w:val="en-US" w:eastAsia="zh-CN" w:bidi="ar"/>
        </w:rPr>
        <w:t>坐标，</w:t>
      </w:r>
      <w:r>
        <w:rPr>
          <w:rFonts w:hint="default" w:ascii="Times New Roman" w:hAnsi="Times New Roman" w:eastAsia="宋体" w:cs="Times New Roman"/>
          <w:color w:val="auto"/>
          <w:kern w:val="0"/>
          <w:sz w:val="28"/>
          <w:szCs w:val="28"/>
          <w:lang w:val="en-US" w:eastAsia="zh-CN" w:bidi="ar"/>
        </w:rPr>
        <w:t>制作饮用水源保护区图件。</w:t>
      </w:r>
    </w:p>
    <w:p w14:paraId="65DF9119">
      <w:pPr>
        <w:pStyle w:val="18"/>
        <w:keepNext w:val="0"/>
        <w:keepLines w:val="0"/>
        <w:widowControl/>
        <w:suppressLineNumbers w:val="0"/>
        <w:spacing w:before="0" w:beforeAutospacing="0" w:after="0" w:afterAutospacing="0" w:line="360" w:lineRule="auto"/>
        <w:ind w:left="0" w:right="0" w:firstLine="560" w:firstLineChars="20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0"/>
          <w:sz w:val="28"/>
          <w:szCs w:val="28"/>
          <w:lang w:val="en-US" w:eastAsia="zh-CN" w:bidi="ar"/>
        </w:rPr>
        <w:t>技术路线框图见图1-1。</w:t>
      </w:r>
    </w:p>
    <w:p w14:paraId="1E591BB5">
      <w:pPr>
        <w:pStyle w:val="18"/>
        <w:keepNext w:val="0"/>
        <w:keepLines w:val="0"/>
        <w:widowControl/>
        <w:suppressLineNumbers w:val="0"/>
        <w:spacing w:before="0" w:beforeAutospacing="0" w:after="0" w:afterAutospacing="0" w:line="360" w:lineRule="auto"/>
        <w:ind w:left="0" w:right="0" w:firstLine="0"/>
        <w:jc w:val="center"/>
        <w:rPr>
          <w:rFonts w:hint="default" w:ascii="Times New Roman" w:hAnsi="Times New Roman" w:cs="Times New Roman"/>
          <w:color w:val="auto"/>
          <w:szCs w:val="24"/>
          <w:lang w:val="en-US"/>
        </w:rPr>
      </w:pPr>
      <w:r>
        <w:rPr>
          <w:color w:val="auto"/>
        </w:rPr>
        <w:drawing>
          <wp:inline distT="0" distB="0" distL="114300" distR="114300">
            <wp:extent cx="3842385" cy="6480175"/>
            <wp:effectExtent l="0" t="0" r="571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842385" cy="6480175"/>
                    </a:xfrm>
                    <a:prstGeom prst="rect">
                      <a:avLst/>
                    </a:prstGeom>
                    <a:noFill/>
                    <a:ln>
                      <a:noFill/>
                    </a:ln>
                  </pic:spPr>
                </pic:pic>
              </a:graphicData>
            </a:graphic>
          </wp:inline>
        </w:drawing>
      </w:r>
    </w:p>
    <w:p w14:paraId="30662D6A">
      <w:pPr>
        <w:keepNext w:val="0"/>
        <w:keepLines w:val="0"/>
        <w:widowControl/>
        <w:suppressLineNumbers w:val="0"/>
        <w:jc w:val="center"/>
        <w:rPr>
          <w:rFonts w:hint="default" w:ascii="Times New Roman" w:hAnsi="Times New Roman" w:eastAsia="宋体" w:cs="Times New Roman"/>
          <w:b/>
          <w:bCs w:val="0"/>
          <w:color w:val="auto"/>
          <w:kern w:val="2"/>
          <w:sz w:val="24"/>
          <w:szCs w:val="24"/>
          <w:lang w:val="en-US" w:eastAsia="zh-CN" w:bidi="ar"/>
        </w:rPr>
      </w:pPr>
      <w:r>
        <w:rPr>
          <w:rFonts w:hint="default" w:ascii="Times New Roman" w:hAnsi="Times New Roman" w:eastAsia="宋体" w:cs="Times New Roman"/>
          <w:b/>
          <w:bCs w:val="0"/>
          <w:color w:val="auto"/>
          <w:kern w:val="2"/>
          <w:sz w:val="24"/>
          <w:szCs w:val="24"/>
          <w:lang w:val="en-US" w:eastAsia="zh-CN" w:bidi="ar"/>
        </w:rPr>
        <w:t>图1-1 饮用水水源保护区划分技术路线图</w:t>
      </w:r>
    </w:p>
    <w:p w14:paraId="77C969B7">
      <w:pPr>
        <w:pStyle w:val="10"/>
        <w:rPr>
          <w:rFonts w:hint="default" w:ascii="Times New Roman" w:hAnsi="Times New Roman" w:eastAsia="宋体" w:cs="Times New Roman"/>
          <w:b/>
          <w:bCs w:val="0"/>
          <w:color w:val="auto"/>
          <w:kern w:val="2"/>
          <w:sz w:val="24"/>
          <w:szCs w:val="24"/>
          <w:lang w:val="en-US" w:eastAsia="zh-CN" w:bidi="ar"/>
        </w:rPr>
      </w:pPr>
    </w:p>
    <w:p w14:paraId="16E7218A">
      <w:pPr>
        <w:pStyle w:val="12"/>
        <w:rPr>
          <w:rFonts w:hint="default" w:ascii="Times New Roman" w:hAnsi="Times New Roman" w:eastAsia="宋体" w:cs="Times New Roman"/>
          <w:b/>
          <w:bCs w:val="0"/>
          <w:color w:val="auto"/>
          <w:kern w:val="2"/>
          <w:sz w:val="24"/>
          <w:szCs w:val="24"/>
          <w:lang w:val="en-US" w:eastAsia="zh-CN" w:bidi="ar"/>
        </w:rPr>
      </w:pPr>
    </w:p>
    <w:p w14:paraId="35D39C43">
      <w:pPr>
        <w:pStyle w:val="12"/>
        <w:rPr>
          <w:rFonts w:hint="default" w:ascii="Times New Roman" w:hAnsi="Times New Roman" w:eastAsia="宋体" w:cs="Times New Roman"/>
          <w:b/>
          <w:bCs w:val="0"/>
          <w:color w:val="auto"/>
          <w:kern w:val="2"/>
          <w:sz w:val="24"/>
          <w:szCs w:val="24"/>
          <w:lang w:val="en-US" w:eastAsia="zh-CN" w:bidi="ar"/>
        </w:rPr>
      </w:pPr>
    </w:p>
    <w:p w14:paraId="37C92897">
      <w:pPr>
        <w:keepNext/>
        <w:keepLines/>
        <w:widowControl w:val="0"/>
        <w:spacing w:before="340" w:after="0" w:line="240" w:lineRule="atLeast"/>
        <w:jc w:val="center"/>
        <w:outlineLvl w:val="0"/>
        <w:rPr>
          <w:rFonts w:hint="default" w:ascii="Times New Roman" w:hAnsi="Times New Roman" w:eastAsia="宋体" w:cs="Times New Roman"/>
          <w:b/>
          <w:bCs/>
          <w:color w:val="auto"/>
          <w:kern w:val="44"/>
          <w:sz w:val="36"/>
          <w:szCs w:val="44"/>
          <w:lang w:val="en-US" w:eastAsia="zh-CN" w:bidi="ar-SA"/>
        </w:rPr>
      </w:pPr>
      <w:bookmarkStart w:id="22" w:name="_Toc4222"/>
      <w:bookmarkStart w:id="23" w:name="_Toc9579"/>
      <w:r>
        <w:rPr>
          <w:rFonts w:hint="default" w:ascii="Times New Roman" w:hAnsi="Times New Roman" w:eastAsia="宋体" w:cs="Times New Roman"/>
          <w:b/>
          <w:bCs/>
          <w:color w:val="auto"/>
          <w:kern w:val="44"/>
          <w:sz w:val="36"/>
          <w:szCs w:val="44"/>
          <w:lang w:val="en-US" w:eastAsia="zh-CN" w:bidi="ar-SA"/>
        </w:rPr>
        <w:t>二、饮用水水源保护区基础环境状况</w:t>
      </w:r>
      <w:bookmarkEnd w:id="22"/>
      <w:bookmarkEnd w:id="23"/>
    </w:p>
    <w:p w14:paraId="00F0750C">
      <w:pPr>
        <w:pStyle w:val="4"/>
        <w:outlineLvl w:val="1"/>
        <w:rPr>
          <w:rFonts w:hint="default" w:ascii="Times New Roman" w:hAnsi="Times New Roman" w:cs="Times New Roman"/>
          <w:color w:val="auto"/>
        </w:rPr>
      </w:pPr>
      <w:bookmarkStart w:id="24" w:name="_Toc456339252"/>
      <w:bookmarkStart w:id="25" w:name="_Toc456351918"/>
      <w:bookmarkStart w:id="26" w:name="_Toc462134846"/>
      <w:bookmarkStart w:id="27" w:name="_Toc456352044"/>
      <w:bookmarkStart w:id="28" w:name="_Toc463685505"/>
      <w:bookmarkStart w:id="29" w:name="_Toc7642"/>
      <w:r>
        <w:rPr>
          <w:rFonts w:hint="default" w:ascii="Times New Roman" w:hAnsi="Times New Roman" w:cs="Times New Roman"/>
          <w:color w:val="auto"/>
        </w:rPr>
        <w:t xml:space="preserve">2.1 </w:t>
      </w:r>
      <w:bookmarkEnd w:id="24"/>
      <w:bookmarkEnd w:id="25"/>
      <w:bookmarkEnd w:id="26"/>
      <w:bookmarkEnd w:id="27"/>
      <w:bookmarkEnd w:id="28"/>
      <w:r>
        <w:rPr>
          <w:rFonts w:hint="default" w:ascii="Times New Roman" w:hAnsi="Times New Roman" w:eastAsia="宋体" w:cs="Times New Roman"/>
          <w:b/>
          <w:color w:val="auto"/>
        </w:rPr>
        <w:t>饮用水水源地所在区域的自然状况</w:t>
      </w:r>
      <w:bookmarkEnd w:id="29"/>
    </w:p>
    <w:p w14:paraId="33E7E8B8">
      <w:pPr>
        <w:pStyle w:val="5"/>
        <w:rPr>
          <w:rFonts w:hint="default" w:ascii="Times New Roman" w:hAnsi="Times New Roman" w:cs="Times New Roman"/>
          <w:color w:val="auto"/>
        </w:rPr>
      </w:pPr>
      <w:bookmarkStart w:id="30" w:name="_Toc462134847"/>
      <w:bookmarkStart w:id="31" w:name="_Toc463685506"/>
      <w:bookmarkStart w:id="32" w:name="_Toc456339253"/>
      <w:r>
        <w:rPr>
          <w:rFonts w:hint="default" w:ascii="Times New Roman" w:hAnsi="Times New Roman" w:cs="Times New Roman"/>
          <w:color w:val="auto"/>
        </w:rPr>
        <w:t>2.1.1地理位置</w:t>
      </w:r>
      <w:bookmarkEnd w:id="30"/>
      <w:bookmarkEnd w:id="31"/>
      <w:bookmarkEnd w:id="32"/>
    </w:p>
    <w:p w14:paraId="74768B98">
      <w:pPr>
        <w:spacing w:line="360" w:lineRule="auto"/>
        <w:ind w:firstLine="560" w:firstLineChars="200"/>
        <w:rPr>
          <w:rFonts w:hint="default" w:ascii="Times New Roman" w:hAnsi="Times New Roman" w:cs="Times New Roman"/>
          <w:color w:val="auto"/>
          <w:kern w:val="0"/>
          <w:sz w:val="28"/>
          <w:szCs w:val="28"/>
        </w:rPr>
      </w:pPr>
      <w:r>
        <w:rPr>
          <w:rFonts w:hint="eastAsia" w:ascii="Times New Roman" w:hAnsi="Times New Roman" w:cs="Times New Roman"/>
          <w:color w:val="auto"/>
          <w:kern w:val="0"/>
          <w:sz w:val="28"/>
          <w:szCs w:val="28"/>
          <w:lang w:eastAsia="zh-CN"/>
        </w:rPr>
        <w:t>灞桥区位于西安市区中东部，东与临潼区、蓝田县接壤，南与长安区为邻，西与雁塔区、新城区、未央区3区相连，北以渭河与高陵区相望。春秋时期，秦穆公称霸西戎后，为彰显霸业，改“滋水”为“霸水”，并建桥以图东进，故称“灞桥”。灞桥区区域南北长30.8公里，东西宽26.5公里，总面积332平方公里，常住人口59.40万，辖9个街道，分别为纺织城街道、十里铺街道、红旗街道、席王街道、洪庆街道、狄寨街道、灞桥街道、新筑街道、新合街道 (其中新筑街道、新合街道自2016年7月移交西安国际港务区托管)，74个社区，76个行政村。</w:t>
      </w:r>
    </w:p>
    <w:p w14:paraId="52ED0B1A">
      <w:pPr>
        <w:spacing w:line="360" w:lineRule="auto"/>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狄寨街道地处灞桥区东南部白鹿原上，距市中心15公里，东邻蓝田，南隔鲸鱼沟与长安相望，西沿半原接红旗街道，北连席王街道。总面积47.5平方公里，辖行政村14个，27个自然村，101个村民小组。户籍总人口约3.3万，总面积47.5平方公里，耕地3.9万亩，浐、灞河环流而下，是一个海拔750-790米的苔原。辖区内有7所大专院校。西安思源学院，西安铁路交通运输学校，西安海棠职业学院，西安铁道技师学院，西安财经大学行知学院，陕西职业技术学院，西安汽车职业大学白鹿原校区，街道办事处驻狄寨村</w:t>
      </w:r>
      <w:r>
        <w:rPr>
          <w:rFonts w:hint="eastAsia" w:ascii="Times New Roman" w:hAnsi="Times New Roman" w:cs="Times New Roman"/>
          <w:color w:val="auto"/>
          <w:kern w:val="0"/>
          <w:sz w:val="28"/>
          <w:szCs w:val="28"/>
          <w:lang w:eastAsia="zh-CN"/>
        </w:rPr>
        <w:t>。</w:t>
      </w:r>
    </w:p>
    <w:p w14:paraId="5BA19F84">
      <w:pPr>
        <w:spacing w:line="360" w:lineRule="auto"/>
        <w:ind w:firstLine="560" w:firstLineChars="200"/>
        <w:rPr>
          <w:rFonts w:hint="eastAsia" w:ascii="Times New Roman" w:hAnsi="Times New Roman" w:cs="Times New Roman"/>
          <w:color w:val="auto"/>
          <w:kern w:val="0"/>
          <w:sz w:val="28"/>
          <w:szCs w:val="28"/>
          <w:lang w:val="en-US" w:eastAsia="zh-CN"/>
        </w:rPr>
      </w:pPr>
      <w:r>
        <w:rPr>
          <w:rFonts w:hint="eastAsia" w:ascii="Times New Roman" w:hAnsi="Times New Roman" w:cs="Times New Roman"/>
          <w:color w:val="auto"/>
          <w:kern w:val="0"/>
          <w:sz w:val="28"/>
          <w:szCs w:val="28"/>
          <w:lang w:val="en-US" w:eastAsia="zh-CN"/>
        </w:rPr>
        <w:t>狄寨街道辖</w:t>
      </w:r>
      <w:r>
        <w:rPr>
          <w:rFonts w:hint="default" w:ascii="Times New Roman" w:hAnsi="Times New Roman" w:cs="Times New Roman"/>
          <w:color w:val="auto"/>
          <w:kern w:val="0"/>
          <w:sz w:val="28"/>
          <w:szCs w:val="28"/>
        </w:rPr>
        <w:t>14个行政村：塘村、狄寨村、新华村、江村、迷鹿村、南枝村、四清村、鲍旗寨村、东月村、杜陵村、张寨村、车村、新狄村、南大康村。</w:t>
      </w:r>
      <w:r>
        <w:rPr>
          <w:rFonts w:hint="eastAsia" w:ascii="Times New Roman" w:hAnsi="Times New Roman" w:cs="Times New Roman"/>
          <w:color w:val="auto"/>
          <w:kern w:val="0"/>
          <w:sz w:val="28"/>
          <w:szCs w:val="28"/>
          <w:lang w:val="en-US" w:eastAsia="zh-CN"/>
        </w:rPr>
        <w:t>其中狄寨村位于狄寨街道中心，共10个村民小组，共1295户，约5000余人，现有耕地4000余亩，主导产业为农业。</w:t>
      </w:r>
    </w:p>
    <w:p w14:paraId="1EFF9164">
      <w:pPr>
        <w:spacing w:line="360" w:lineRule="auto"/>
        <w:ind w:firstLine="560" w:firstLineChars="200"/>
        <w:rPr>
          <w:rFonts w:hint="default" w:ascii="Times New Roman" w:hAnsi="Times New Roman" w:cs="Times New Roman"/>
          <w:color w:val="auto"/>
          <w:kern w:val="0"/>
          <w:sz w:val="28"/>
          <w:szCs w:val="28"/>
          <w:lang w:val="en-US" w:eastAsia="zh-CN"/>
        </w:rPr>
      </w:pPr>
      <w:r>
        <w:rPr>
          <w:rFonts w:hint="eastAsia" w:ascii="Times New Roman" w:hAnsi="Times New Roman" w:cs="Times New Roman"/>
          <w:color w:val="auto"/>
          <w:kern w:val="0"/>
          <w:sz w:val="28"/>
          <w:szCs w:val="28"/>
          <w:lang w:val="en-US" w:eastAsia="zh-CN"/>
        </w:rPr>
        <w:t>根据现场调查，江村沟垃圾填埋场距离本项目约4km，位于地下水下游方向。</w:t>
      </w:r>
    </w:p>
    <w:p w14:paraId="74368405">
      <w:pPr>
        <w:spacing w:line="360" w:lineRule="auto"/>
        <w:rPr>
          <w:color w:val="auto"/>
          <w:bdr w:val="single" w:sz="4" w:space="0"/>
        </w:rPr>
      </w:pP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1192530</wp:posOffset>
                </wp:positionH>
                <wp:positionV relativeFrom="paragraph">
                  <wp:posOffset>1301750</wp:posOffset>
                </wp:positionV>
                <wp:extent cx="706120" cy="516255"/>
                <wp:effectExtent l="6350" t="164465" r="220980" b="24130"/>
                <wp:wrapNone/>
                <wp:docPr id="23" name="圆角矩形标注 23"/>
                <wp:cNvGraphicFramePr/>
                <a:graphic xmlns:a="http://schemas.openxmlformats.org/drawingml/2006/main">
                  <a:graphicData uri="http://schemas.microsoft.com/office/word/2010/wordprocessingShape">
                    <wps:wsp>
                      <wps:cNvSpPr/>
                      <wps:spPr>
                        <a:xfrm>
                          <a:off x="0" y="0"/>
                          <a:ext cx="706120" cy="516255"/>
                        </a:xfrm>
                        <a:prstGeom prst="wedgeRoundRectCallout">
                          <a:avLst>
                            <a:gd name="adj1" fmla="val 76798"/>
                            <a:gd name="adj2" fmla="val -7373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C708F">
                            <w:pPr>
                              <w:spacing w:line="240" w:lineRule="auto"/>
                              <w:jc w:val="center"/>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江村沟垃圾填埋场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3.9pt;margin-top:102.5pt;height:40.65pt;width:55.6pt;z-index:251676672;v-text-anchor:middle;mso-width-relative:page;mso-height-relative:page;" filled="f" stroked="t" coordsize="21600,21600" o:gfxdata="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6Gr9s2AAAAAsBAAAPAAAA&#10;AAAAAAEAIAAAACIAAABkcnMvZG93bnJldi54bWxQSwECFAAUAAAACACHTuJAaCuIocACAABqBQAA&#10;DgAAAAAAAAABACAAAAAnAQAAZHJzL2Uyb0RvYy54bWxQSwUGAAAAAAYABgBZAQAAWQYAAAAA&#10;" adj="27388,-5128,14400">
                <v:fill on="f" focussize="0,0"/>
                <v:stroke weight="1pt" color="#000000 [3213]" miterlimit="8" joinstyle="miter"/>
                <v:imagedata o:title=""/>
                <o:lock v:ext="edit" aspectratio="f"/>
                <v:textbox>
                  <w:txbxContent>
                    <w:p w14:paraId="11CC708F">
                      <w:pPr>
                        <w:spacing w:line="240" w:lineRule="auto"/>
                        <w:jc w:val="center"/>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江村沟垃圾填埋场</w:t>
                      </w:r>
                    </w:p>
                  </w:txbxContent>
                </v:textbox>
              </v:shape>
            </w:pict>
          </mc:Fallback>
        </mc:AlternateContent>
      </w: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2938780</wp:posOffset>
                </wp:positionH>
                <wp:positionV relativeFrom="paragraph">
                  <wp:posOffset>2397760</wp:posOffset>
                </wp:positionV>
                <wp:extent cx="628650" cy="295275"/>
                <wp:effectExtent l="320675" t="497205" r="22225" b="7620"/>
                <wp:wrapNone/>
                <wp:docPr id="38" name="圆角矩形标注 38"/>
                <wp:cNvGraphicFramePr/>
                <a:graphic xmlns:a="http://schemas.openxmlformats.org/drawingml/2006/main">
                  <a:graphicData uri="http://schemas.microsoft.com/office/word/2010/wordprocessingShape">
                    <wps:wsp>
                      <wps:cNvSpPr/>
                      <wps:spPr>
                        <a:xfrm>
                          <a:off x="0" y="0"/>
                          <a:ext cx="628650" cy="295275"/>
                        </a:xfrm>
                        <a:prstGeom prst="wedgeRoundRectCallout">
                          <a:avLst>
                            <a:gd name="adj1" fmla="val -95050"/>
                            <a:gd name="adj2" fmla="val -20569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EC784">
                            <w:pPr>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1.4pt;margin-top:188.8pt;height:23.25pt;width:49.5pt;z-index:251675648;v-text-anchor:middle;mso-width-relative:page;mso-height-relative:page;" filled="f" stroked="t" coordsize="21600,21600" o:gfxdata="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MW/JNgAAAALAQAADwAA&#10;AAAAAAABACAAAAAiAAAAZHJzL2Rvd25yZXYueG1sUEsBAhQAFAAAAAgAh07iQAOh2vDBAgAAbAUA&#10;AA4AAAAAAAAAAQAgAAAAJwEAAGRycy9lMm9Eb2MueG1sUEsFBgAAAAAGAAYAWQEAAFoGAAAAAA==&#10;" adj="-9731,-33631,14400">
                <v:fill on="f" focussize="0,0"/>
                <v:stroke weight="1pt" color="#000000 [3213]" miterlimit="8" joinstyle="miter"/>
                <v:imagedata o:title=""/>
                <o:lock v:ext="edit" aspectratio="f"/>
                <v:textbox>
                  <w:txbxContent>
                    <w:p w14:paraId="302EC784">
                      <w:pPr>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2944495</wp:posOffset>
                </wp:positionH>
                <wp:positionV relativeFrom="paragraph">
                  <wp:posOffset>2399665</wp:posOffset>
                </wp:positionV>
                <wp:extent cx="628650" cy="295275"/>
                <wp:effectExtent l="277495" t="339090" r="8255" b="13335"/>
                <wp:wrapNone/>
                <wp:docPr id="11" name="圆角矩形标注 11"/>
                <wp:cNvGraphicFramePr/>
                <a:graphic xmlns:a="http://schemas.openxmlformats.org/drawingml/2006/main">
                  <a:graphicData uri="http://schemas.microsoft.com/office/word/2010/wordprocessingShape">
                    <wps:wsp>
                      <wps:cNvSpPr/>
                      <wps:spPr>
                        <a:xfrm>
                          <a:off x="3757930" y="2795905"/>
                          <a:ext cx="628650" cy="295275"/>
                        </a:xfrm>
                        <a:prstGeom prst="wedgeRoundRectCallout">
                          <a:avLst>
                            <a:gd name="adj1" fmla="val -87474"/>
                            <a:gd name="adj2" fmla="val -15408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547DF">
                            <w:pPr>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1.85pt;margin-top:188.95pt;height:23.25pt;width:49.5pt;z-index:251665408;v-text-anchor:middle;mso-width-relative:page;mso-height-relative:page;" filled="f" stroked="t" coordsize="21600,21600" o:gfxdata="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Fbp9y&#10;2AAAAAsBAAAPAAAAAAAAAAEAIAAAACIAAABkcnMvZG93bnJldi54bWxQSwECFAAUAAAACACHTuJA&#10;9SHUkMwCAAB4BQAADgAAAAAAAAABACAAAAAnAQAAZHJzL2Uyb0RvYy54bWxQSwUGAAAAAAYABgBZ&#10;AQAAZQYAAAAA&#10;" adj="-8094,-22483,14400">
                <v:fill on="f" focussize="0,0"/>
                <v:stroke weight="1pt" color="#000000 [3213]" miterlimit="8" joinstyle="miter"/>
                <v:imagedata o:title=""/>
                <o:lock v:ext="edit" aspectratio="f"/>
                <v:textbox>
                  <w:txbxContent>
                    <w:p w14:paraId="09A547DF">
                      <w:pPr>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w:t>
                      </w:r>
                    </w:p>
                  </w:txbxContent>
                </v:textbox>
              </v:shape>
            </w:pict>
          </mc:Fallback>
        </mc:AlternateContent>
      </w:r>
      <w:r>
        <w:rPr>
          <w:color w:val="auto"/>
          <w:bdr w:val="single" w:sz="4" w:space="0"/>
        </w:rPr>
        <w:drawing>
          <wp:inline distT="0" distB="0" distL="114300" distR="114300">
            <wp:extent cx="5579110" cy="3174365"/>
            <wp:effectExtent l="0" t="0" r="254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579110" cy="3174365"/>
                    </a:xfrm>
                    <a:prstGeom prst="rect">
                      <a:avLst/>
                    </a:prstGeom>
                    <a:noFill/>
                    <a:ln>
                      <a:noFill/>
                    </a:ln>
                  </pic:spPr>
                </pic:pic>
              </a:graphicData>
            </a:graphic>
          </wp:inline>
        </w:drawing>
      </w:r>
      <w:r>
        <w:rPr>
          <w:color w:val="auto"/>
        </w:rPr>
        <w:drawing>
          <wp:anchor distT="0" distB="0" distL="114300" distR="114300" simplePos="0" relativeHeight="251664384" behindDoc="0" locked="0" layoutInCell="1" allowOverlap="1">
            <wp:simplePos x="0" y="0"/>
            <wp:positionH relativeFrom="column">
              <wp:posOffset>4882515</wp:posOffset>
            </wp:positionH>
            <wp:positionV relativeFrom="paragraph">
              <wp:posOffset>96520</wp:posOffset>
            </wp:positionV>
            <wp:extent cx="720090" cy="667385"/>
            <wp:effectExtent l="0" t="0" r="3810" b="1841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720090" cy="667385"/>
                    </a:xfrm>
                    <a:prstGeom prst="rect">
                      <a:avLst/>
                    </a:prstGeom>
                    <a:noFill/>
                    <a:ln>
                      <a:noFill/>
                    </a:ln>
                  </pic:spPr>
                </pic:pic>
              </a:graphicData>
            </a:graphic>
          </wp:anchor>
        </w:drawing>
      </w:r>
    </w:p>
    <w:p w14:paraId="6DA0D649">
      <w:pPr>
        <w:bidi w:val="0"/>
        <w:spacing w:line="360" w:lineRule="auto"/>
        <w:jc w:val="center"/>
        <w:rPr>
          <w:rFonts w:hint="default"/>
          <w:b/>
          <w:bCs/>
          <w:color w:val="auto"/>
          <w:lang w:val="en-US" w:eastAsia="zh-CN"/>
        </w:rPr>
      </w:pPr>
      <w:r>
        <w:rPr>
          <w:rFonts w:hint="eastAsia"/>
          <w:b/>
          <w:bCs/>
          <w:color w:val="auto"/>
          <w:lang w:val="en-US" w:eastAsia="zh-CN"/>
        </w:rPr>
        <w:t>图2.1-1  水源井地理位置图</w:t>
      </w:r>
    </w:p>
    <w:p w14:paraId="7277FB21">
      <w:pPr>
        <w:pStyle w:val="5"/>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2.1.2气候气象</w:t>
      </w:r>
    </w:p>
    <w:p w14:paraId="6234E9FA">
      <w:pPr>
        <w:spacing w:line="360" w:lineRule="auto"/>
        <w:ind w:firstLine="560" w:firstLineChars="200"/>
        <w:rPr>
          <w:rFonts w:hint="eastAsia" w:ascii="Times New Roman" w:hAnsi="Times New Roman" w:cs="Times New Roman"/>
          <w:color w:val="auto"/>
          <w:sz w:val="28"/>
          <w:szCs w:val="28"/>
          <w:shd w:val="clear" w:color="auto" w:fill="FFFFFF"/>
          <w:lang w:val="en-US" w:eastAsia="zh-CN"/>
        </w:rPr>
      </w:pPr>
      <w:r>
        <w:rPr>
          <w:rFonts w:hint="eastAsia" w:ascii="Times New Roman" w:hAnsi="Times New Roman" w:cs="Times New Roman"/>
          <w:color w:val="auto"/>
          <w:sz w:val="28"/>
          <w:szCs w:val="28"/>
          <w:shd w:val="clear" w:color="auto" w:fill="FFFFFF"/>
          <w:lang w:val="en-US" w:eastAsia="zh-CN"/>
        </w:rPr>
        <w:t>灞桥区气候属暖温带半湿润大陆性季风气候，四季分明，冷、暖、干、湿变化明显。在不同地理条件下，区内气温总体呈东低西高特点，年平均气温在11.3-13.7℃之间。最高气温85％年份集中在6月中旬至7月中旬，平均温度为26.6℃；最低气温81％年份集中在1月份，平均气温为-8℃，无霜期203天。区内降水时间分布很不均匀，年季间差异很大，年均降水量为584.9mm。</w:t>
      </w:r>
    </w:p>
    <w:p w14:paraId="4238C262">
      <w:pPr>
        <w:pStyle w:val="5"/>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2.1.3河流水系概况</w:t>
      </w:r>
    </w:p>
    <w:p w14:paraId="71E858AE">
      <w:pPr>
        <w:spacing w:line="360" w:lineRule="auto"/>
        <w:ind w:firstLine="560" w:firstLineChars="200"/>
        <w:rPr>
          <w:rFonts w:hint="eastAsia" w:ascii="Times New Roman" w:hAnsi="Times New Roman" w:cs="Times New Roman"/>
          <w:color w:val="auto"/>
          <w:sz w:val="28"/>
          <w:szCs w:val="28"/>
          <w:shd w:val="clear" w:color="auto" w:fill="FFFFFF"/>
          <w:lang w:val="en-US" w:eastAsia="zh-CN"/>
        </w:rPr>
      </w:pPr>
      <w:r>
        <w:rPr>
          <w:rFonts w:hint="eastAsia" w:ascii="Times New Roman" w:hAnsi="Times New Roman" w:cs="Times New Roman"/>
          <w:color w:val="auto"/>
          <w:sz w:val="28"/>
          <w:szCs w:val="28"/>
          <w:shd w:val="clear" w:color="auto" w:fill="FFFFFF"/>
          <w:lang w:val="en-US" w:eastAsia="zh-CN"/>
        </w:rPr>
        <w:t>距离西安市灞桥区狄寨街道狄寨村水源地最近的河流为灞河。</w:t>
      </w:r>
    </w:p>
    <w:p w14:paraId="141C8DAF">
      <w:pPr>
        <w:spacing w:line="360" w:lineRule="auto"/>
        <w:ind w:firstLine="560" w:firstLineChars="200"/>
        <w:rPr>
          <w:rFonts w:hint="eastAsia" w:ascii="Times New Roman" w:hAnsi="Times New Roman" w:cs="Times New Roman"/>
          <w:color w:val="auto"/>
          <w:sz w:val="28"/>
          <w:szCs w:val="28"/>
          <w:shd w:val="clear" w:color="auto" w:fill="FFFFFF"/>
          <w:lang w:val="en-US" w:eastAsia="zh-CN"/>
        </w:rPr>
      </w:pPr>
      <w:r>
        <w:rPr>
          <w:color w:val="auto"/>
          <w:sz w:val="28"/>
        </w:rPr>
        <mc:AlternateContent>
          <mc:Choice Requires="wps">
            <w:drawing>
              <wp:anchor distT="0" distB="0" distL="114300" distR="114300" simplePos="0" relativeHeight="251659264" behindDoc="0" locked="0" layoutInCell="1" allowOverlap="1">
                <wp:simplePos x="0" y="0"/>
                <wp:positionH relativeFrom="column">
                  <wp:posOffset>3560445</wp:posOffset>
                </wp:positionH>
                <wp:positionV relativeFrom="paragraph">
                  <wp:posOffset>4012565</wp:posOffset>
                </wp:positionV>
                <wp:extent cx="694690" cy="342265"/>
                <wp:effectExtent l="64770" t="6350" r="21590" b="413385"/>
                <wp:wrapNone/>
                <wp:docPr id="10" name="圆角矩形标注 10"/>
                <wp:cNvGraphicFramePr/>
                <a:graphic xmlns:a="http://schemas.openxmlformats.org/drawingml/2006/main">
                  <a:graphicData uri="http://schemas.microsoft.com/office/word/2010/wordprocessingShape">
                    <wps:wsp>
                      <wps:cNvSpPr/>
                      <wps:spPr>
                        <a:xfrm>
                          <a:off x="4653280" y="2085975"/>
                          <a:ext cx="694690" cy="342265"/>
                        </a:xfrm>
                        <a:prstGeom prst="wedgeRoundRectCallout">
                          <a:avLst>
                            <a:gd name="adj1" fmla="val -56303"/>
                            <a:gd name="adj2" fmla="val 15667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8FBC4">
                            <w:pPr>
                              <w:jc w:val="both"/>
                              <w:rPr>
                                <w:rFonts w:hint="default" w:eastAsia="宋体"/>
                                <w:color w:val="auto"/>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r>
                              <w:rPr>
                                <w:rFonts w:hint="eastAsia"/>
                                <w:color w:val="auto"/>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0.35pt;margin-top:315.95pt;height:26.95pt;width:54.7pt;z-index:251659264;v-text-anchor:middle;mso-width-relative:page;mso-height-relative:page;" filled="f" stroked="t" coordsize="21600,21600" o:gfxdata="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CM53XZ&#10;AAAACwEAAA8AAAAAAAAAAQAgAAAAIgAAAGRycy9kb3ducmV2LnhtbFBLAQIUABQAAAAIAIdO4kA9&#10;Kt/SygIAAHcFAAAOAAAAAAAAAAEAIAAAACgBAABkcnMvZTJvRG9jLnhtbFBLBQYAAAAABgAGAFkB&#10;AABkBgAAAAA=&#10;" adj="-1361,44643,14400">
                <v:fill on="f" focussize="0,0"/>
                <v:stroke weight="1pt" color="#000000 [3213]" miterlimit="8" joinstyle="miter"/>
                <v:imagedata o:title=""/>
                <o:lock v:ext="edit" aspectratio="f"/>
                <v:textbox>
                  <w:txbxContent>
                    <w:p w14:paraId="2F98FBC4">
                      <w:pPr>
                        <w:jc w:val="both"/>
                        <w:rPr>
                          <w:rFonts w:hint="default" w:eastAsia="宋体"/>
                          <w:color w:val="auto"/>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r>
                        <w:rPr>
                          <w:rFonts w:hint="eastAsia"/>
                          <w:color w:val="auto"/>
                          <w:lang w:val="en-US" w:eastAsia="zh-CN"/>
                        </w:rPr>
                        <w:t xml:space="preserve"> </w:t>
                      </w:r>
                    </w:p>
                  </w:txbxContent>
                </v:textbox>
              </v:shape>
            </w:pict>
          </mc:Fallback>
        </mc:AlternateContent>
      </w: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3472180</wp:posOffset>
                </wp:positionH>
                <wp:positionV relativeFrom="paragraph">
                  <wp:posOffset>4667250</wp:posOffset>
                </wp:positionV>
                <wp:extent cx="75565" cy="75565"/>
                <wp:effectExtent l="10160" t="13970" r="28575" b="24765"/>
                <wp:wrapNone/>
                <wp:docPr id="6" name="等腰三角形 6"/>
                <wp:cNvGraphicFramePr/>
                <a:graphic xmlns:a="http://schemas.openxmlformats.org/drawingml/2006/main">
                  <a:graphicData uri="http://schemas.microsoft.com/office/word/2010/wordprocessingShape">
                    <wps:wsp>
                      <wps:cNvSpPr/>
                      <wps:spPr>
                        <a:xfrm>
                          <a:off x="4653280" y="2505075"/>
                          <a:ext cx="75565" cy="7556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73.4pt;margin-top:367.5pt;height:5.95pt;width:5.95pt;z-index:251663360;v-text-anchor:middle;mso-width-relative:page;mso-height-relative:page;" fillcolor="#FF0000" filled="t" stroked="t" coordsize="21600,21600" o:gfxdata="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HyFPT3AAAAAsB&#10;AAAPAAAAAAAAAAEAIAAAACIAAABkcnMvZG93bnJldi54bWxQSwECFAAUAAAACACHTuJAaBSN54kC&#10;AAAKBQAADgAAAAAAAAABACAAAAArAQAAZHJzL2Uyb0RvYy54bWxQSwUGAAAAAAYABgBZAQAAJgYA&#10;AAAA&#10;" adj="10800">
                <v:fill on="t" focussize="0,0"/>
                <v:stroke weight="1pt" color="#FF0000 [3204]" miterlimit="8" joinstyle="miter"/>
                <v:imagedata o:title=""/>
                <o:lock v:ext="edit" aspectratio="f"/>
              </v:shape>
            </w:pict>
          </mc:Fallback>
        </mc:AlternateContent>
      </w:r>
      <w:r>
        <w:rPr>
          <w:rFonts w:hint="eastAsia" w:ascii="Times New Roman" w:hAnsi="Times New Roman" w:cs="Times New Roman"/>
          <w:color w:val="auto"/>
          <w:sz w:val="28"/>
          <w:szCs w:val="28"/>
          <w:shd w:val="clear" w:color="auto" w:fill="FFFFFF"/>
          <w:lang w:val="en-US" w:eastAsia="zh-CN"/>
        </w:rPr>
        <w:t>灞河，是黄河支流渭河的支流，古名滋水，全长109公里，流域面积2581平方公里，发源于秦岭北坡陕西省蓝田县灞源镇麻家坡以北。流经灞桥区、未央区，在西安市高陵区南汇入</w:t>
      </w:r>
      <w:r>
        <w:rPr>
          <w:rFonts w:hint="eastAsia" w:ascii="Times New Roman" w:hAnsi="Times New Roman" w:cs="Times New Roman"/>
          <w:color w:val="auto"/>
          <w:sz w:val="28"/>
          <w:szCs w:val="28"/>
          <w:shd w:val="clear" w:color="auto" w:fill="FFFFFF"/>
          <w:lang w:val="en-US" w:eastAsia="zh-CN"/>
        </w:rPr>
        <w:fldChar w:fldCharType="begin"/>
      </w:r>
      <w:r>
        <w:rPr>
          <w:rFonts w:hint="eastAsia" w:ascii="Times New Roman" w:hAnsi="Times New Roman" w:cs="Times New Roman"/>
          <w:color w:val="auto"/>
          <w:sz w:val="28"/>
          <w:szCs w:val="28"/>
          <w:shd w:val="clear" w:color="auto" w:fill="FFFFFF"/>
          <w:lang w:val="en-US" w:eastAsia="zh-CN"/>
        </w:rPr>
        <w:instrText xml:space="preserve"> HYPERLINK "https://baike.so.com/doc/123121-130039.html" \t "https://baike.so.com/doc/_blank" </w:instrText>
      </w:r>
      <w:r>
        <w:rPr>
          <w:rFonts w:hint="eastAsia" w:ascii="Times New Roman" w:hAnsi="Times New Roman" w:cs="Times New Roman"/>
          <w:color w:val="auto"/>
          <w:sz w:val="28"/>
          <w:szCs w:val="28"/>
          <w:shd w:val="clear" w:color="auto" w:fill="FFFFFF"/>
          <w:lang w:val="en-US" w:eastAsia="zh-CN"/>
        </w:rPr>
        <w:fldChar w:fldCharType="separate"/>
      </w:r>
      <w:r>
        <w:rPr>
          <w:rFonts w:hint="eastAsia" w:ascii="Times New Roman" w:hAnsi="Times New Roman" w:cs="Times New Roman"/>
          <w:color w:val="auto"/>
          <w:sz w:val="28"/>
          <w:szCs w:val="28"/>
          <w:shd w:val="clear" w:color="auto" w:fill="FFFFFF"/>
          <w:lang w:val="en-US" w:eastAsia="zh-CN"/>
        </w:rPr>
        <w:t>渭河</w:t>
      </w:r>
      <w:r>
        <w:rPr>
          <w:rFonts w:hint="eastAsia" w:ascii="Times New Roman" w:hAnsi="Times New Roman" w:cs="Times New Roman"/>
          <w:color w:val="auto"/>
          <w:sz w:val="28"/>
          <w:szCs w:val="28"/>
          <w:shd w:val="clear" w:color="auto" w:fill="FFFFFF"/>
          <w:lang w:val="en-US" w:eastAsia="zh-CN"/>
        </w:rPr>
        <w:fldChar w:fldCharType="end"/>
      </w:r>
      <w:r>
        <w:rPr>
          <w:rFonts w:hint="eastAsia" w:ascii="Times New Roman" w:hAnsi="Times New Roman" w:cs="Times New Roman"/>
          <w:color w:val="auto"/>
          <w:sz w:val="28"/>
          <w:szCs w:val="28"/>
          <w:shd w:val="clear" w:color="auto" w:fill="FFFFFF"/>
          <w:lang w:val="en-US" w:eastAsia="zh-CN"/>
        </w:rPr>
        <w:t>，春秋时</w:t>
      </w:r>
      <w:r>
        <w:rPr>
          <w:rFonts w:hint="eastAsia" w:ascii="Times New Roman" w:hAnsi="Times New Roman" w:cs="Times New Roman"/>
          <w:color w:val="auto"/>
          <w:sz w:val="28"/>
          <w:szCs w:val="28"/>
          <w:shd w:val="clear" w:color="auto" w:fill="FFFFFF"/>
          <w:lang w:val="en-US" w:eastAsia="zh-CN"/>
        </w:rPr>
        <w:fldChar w:fldCharType="begin"/>
      </w:r>
      <w:r>
        <w:rPr>
          <w:rFonts w:hint="eastAsia" w:ascii="Times New Roman" w:hAnsi="Times New Roman" w:cs="Times New Roman"/>
          <w:color w:val="auto"/>
          <w:sz w:val="28"/>
          <w:szCs w:val="28"/>
          <w:shd w:val="clear" w:color="auto" w:fill="FFFFFF"/>
          <w:lang w:val="en-US" w:eastAsia="zh-CN"/>
        </w:rPr>
        <w:instrText xml:space="preserve"> HYPERLINK "https://baike.so.com/doc/2840359-2997480.html" \t "https://baike.so.com/doc/_blank" </w:instrText>
      </w:r>
      <w:r>
        <w:rPr>
          <w:rFonts w:hint="eastAsia" w:ascii="Times New Roman" w:hAnsi="Times New Roman" w:cs="Times New Roman"/>
          <w:color w:val="auto"/>
          <w:sz w:val="28"/>
          <w:szCs w:val="28"/>
          <w:shd w:val="clear" w:color="auto" w:fill="FFFFFF"/>
          <w:lang w:val="en-US" w:eastAsia="zh-CN"/>
        </w:rPr>
        <w:fldChar w:fldCharType="separate"/>
      </w:r>
      <w:r>
        <w:rPr>
          <w:rFonts w:hint="eastAsia" w:ascii="Times New Roman" w:hAnsi="Times New Roman" w:cs="Times New Roman"/>
          <w:color w:val="auto"/>
          <w:sz w:val="28"/>
          <w:szCs w:val="28"/>
          <w:shd w:val="clear" w:color="auto" w:fill="FFFFFF"/>
          <w:lang w:val="en-US" w:eastAsia="zh-CN"/>
        </w:rPr>
        <w:t>秦穆公</w:t>
      </w:r>
      <w:r>
        <w:rPr>
          <w:rFonts w:hint="eastAsia" w:ascii="Times New Roman" w:hAnsi="Times New Roman" w:cs="Times New Roman"/>
          <w:color w:val="auto"/>
          <w:sz w:val="28"/>
          <w:szCs w:val="28"/>
          <w:shd w:val="clear" w:color="auto" w:fill="FFFFFF"/>
          <w:lang w:val="en-US" w:eastAsia="zh-CN"/>
        </w:rPr>
        <w:fldChar w:fldCharType="end"/>
      </w:r>
      <w:r>
        <w:rPr>
          <w:rFonts w:hint="eastAsia" w:ascii="Times New Roman" w:hAnsi="Times New Roman" w:cs="Times New Roman"/>
          <w:color w:val="auto"/>
          <w:sz w:val="28"/>
          <w:szCs w:val="28"/>
          <w:shd w:val="clear" w:color="auto" w:fill="FFFFFF"/>
          <w:lang w:val="en-US" w:eastAsia="zh-CN"/>
        </w:rPr>
        <w:t>不断向外扩张，称霸西戎后改名霸水。后来在"霸"字旁加上三点水，称为灞水。主要支流有辋峪河、浐河等。灞河上游河床比较大，洪水期水流湍急，河床左右摆动，河道弯曲甚多，新中国成立后</w:t>
      </w:r>
      <w:bookmarkStart w:id="145" w:name="_GoBack"/>
      <w:bookmarkEnd w:id="145"/>
      <w:r>
        <w:rPr>
          <w:rFonts w:hint="eastAsia" w:ascii="Times New Roman" w:hAnsi="Times New Roman" w:cs="Times New Roman"/>
          <w:color w:val="auto"/>
          <w:sz w:val="28"/>
          <w:szCs w:val="28"/>
          <w:shd w:val="clear" w:color="auto" w:fill="FFFFFF"/>
          <w:lang w:val="en-US" w:eastAsia="zh-CN"/>
        </w:rPr>
        <w:t>建有较完善的堤防系统。灞河流域内农业发达，灌溉历史悠久，流域内建有辋灞渠、跃进渠、蓝桥渠、普惠渠、灞惠渠、团结渠、立新渠等诸多引水工程。</w:t>
      </w:r>
      <w:r>
        <w:rPr>
          <w:rFonts w:hint="eastAsia" w:ascii="Times New Roman" w:hAnsi="Times New Roman" w:cs="Times New Roman"/>
          <w:color w:val="auto"/>
          <w:sz w:val="28"/>
          <w:szCs w:val="28"/>
          <w:shd w:val="clear" w:color="auto" w:fill="FFFFFF"/>
          <w:lang w:val="en-US" w:eastAsia="zh-CN"/>
        </w:rPr>
        <w:drawing>
          <wp:inline distT="0" distB="0" distL="114300" distR="114300">
            <wp:extent cx="5267325" cy="3091815"/>
            <wp:effectExtent l="0" t="0" r="9525" b="13335"/>
            <wp:docPr id="5" name="图片 5" descr="7c3dec526c301dfdbb6fbf44b62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c3dec526c301dfdbb6fbf44b620352"/>
                    <pic:cNvPicPr>
                      <a:picLocks noChangeAspect="1"/>
                    </pic:cNvPicPr>
                  </pic:nvPicPr>
                  <pic:blipFill>
                    <a:blip r:embed="rId12"/>
                    <a:stretch>
                      <a:fillRect/>
                    </a:stretch>
                  </pic:blipFill>
                  <pic:spPr>
                    <a:xfrm>
                      <a:off x="0" y="0"/>
                      <a:ext cx="5267325" cy="3091815"/>
                    </a:xfrm>
                    <a:prstGeom prst="rect">
                      <a:avLst/>
                    </a:prstGeom>
                  </pic:spPr>
                </pic:pic>
              </a:graphicData>
            </a:graphic>
          </wp:inline>
        </w:drawing>
      </w:r>
    </w:p>
    <w:p w14:paraId="678F8C5C">
      <w:pPr>
        <w:pStyle w:val="10"/>
        <w:ind w:left="0" w:leftChars="0" w:firstLine="0" w:firstLineChars="0"/>
        <w:jc w:val="center"/>
        <w:rPr>
          <w:rFonts w:hint="default"/>
          <w:b/>
          <w:bCs/>
          <w:color w:val="auto"/>
          <w:sz w:val="21"/>
          <w:szCs w:val="21"/>
          <w:lang w:val="en-US" w:eastAsia="zh-CN"/>
        </w:rPr>
      </w:pPr>
      <w:r>
        <w:rPr>
          <w:rFonts w:hint="eastAsia" w:ascii="Times New Roman" w:hAnsi="Times New Roman" w:cs="Times New Roman"/>
          <w:b/>
          <w:bCs/>
          <w:color w:val="auto"/>
          <w:sz w:val="21"/>
          <w:szCs w:val="21"/>
          <w:shd w:val="clear" w:color="auto" w:fill="FFFFFF"/>
          <w:lang w:val="en-US" w:eastAsia="zh-CN"/>
        </w:rPr>
        <w:t>图2.1.2  西安市水系图</w:t>
      </w:r>
    </w:p>
    <w:p w14:paraId="76B3473F">
      <w:pPr>
        <w:pStyle w:val="5"/>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2.1.4地形地貌</w:t>
      </w:r>
    </w:p>
    <w:p w14:paraId="7FCAC2D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灞桥区位于渭河断陷谷地为基础的关中盆地的中部地区，地势东南高，西北地，地形高低悬殊。东部属著名的骊山中低山地和洪庆原黄土高原，南部为白鹿原黄土台塬，西部是西安市城区所在地—少陵塬黄土台塬的北延部分龙首原，北部为渭河、灞河冲积平原。</w:t>
      </w:r>
    </w:p>
    <w:p w14:paraId="43ACB64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白鹿塬东临灞河，西靠浐河，其东、北、西三面为地势低平的渭河冲积平原。塬面高出平原区80m～120m，塬面标高为540m～770m 之间，东南高而西南低，呈阶梯状分布，可分为一、二、三级黄土台塬：</w:t>
      </w:r>
    </w:p>
    <w:p w14:paraId="51796C9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一级黄土台塬体最北端向北凸出，唐家寨、肖家寨分别位于一级台塬面前、后缘，其标高在540m～560m 之间，黄土层厚度80m～100m，下伏地层为更新统冲洪积黄土状土夹砂砾卵石层。</w:t>
      </w:r>
    </w:p>
    <w:p w14:paraId="5DC1BD8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二级黄土台塬标高在620m～670m 间，高出一级台塬80m～90m，两者呈陡斜坡联接。江村位于台塬的中后部，窑庄子、高家沟分别位于前后缘，塬面北剥蚀呈波浪状，黄土厚度达120m 以上，下伏地层为下更新统风积加冲洪积黄土状夹粉砂、亚砂土层。</w:t>
      </w:r>
    </w:p>
    <w:p w14:paraId="33268F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三级黄土台塬地势较高，塬面标高在755m～770m 间，与二级台塬高差约80m，两者呈陡斜坡联接，塬面一般开阔，黄土层厚120m～140m，下伏地层为第三系粘土、砂泥岩。</w:t>
      </w:r>
    </w:p>
    <w:p w14:paraId="20A04EA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本项目处于二级黄土台塬区段内。</w:t>
      </w:r>
    </w:p>
    <w:p w14:paraId="5E28103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8"/>
          <w:szCs w:val="28"/>
          <w:lang w:val="en-US" w:eastAsia="zh-CN"/>
        </w:rPr>
      </w:pPr>
      <w:r>
        <w:rPr>
          <w:color w:val="auto"/>
          <w:sz w:val="28"/>
        </w:rPr>
        <mc:AlternateContent>
          <mc:Choice Requires="wps">
            <w:drawing>
              <wp:anchor distT="0" distB="0" distL="114300" distR="114300" simplePos="0" relativeHeight="251671552" behindDoc="0" locked="0" layoutInCell="1" allowOverlap="1">
                <wp:simplePos x="0" y="0"/>
                <wp:positionH relativeFrom="column">
                  <wp:posOffset>3224530</wp:posOffset>
                </wp:positionH>
                <wp:positionV relativeFrom="paragraph">
                  <wp:posOffset>3867150</wp:posOffset>
                </wp:positionV>
                <wp:extent cx="75565" cy="75565"/>
                <wp:effectExtent l="10160" t="13970" r="28575" b="24765"/>
                <wp:wrapNone/>
                <wp:docPr id="32" name="等腰三角形 32"/>
                <wp:cNvGraphicFramePr/>
                <a:graphic xmlns:a="http://schemas.openxmlformats.org/drawingml/2006/main">
                  <a:graphicData uri="http://schemas.microsoft.com/office/word/2010/wordprocessingShape">
                    <wps:wsp>
                      <wps:cNvSpPr/>
                      <wps:spPr>
                        <a:xfrm>
                          <a:off x="0" y="0"/>
                          <a:ext cx="75565" cy="7556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53.9pt;margin-top:304.5pt;height:5.95pt;width:5.95pt;z-index:251671552;v-text-anchor:middle;mso-width-relative:page;mso-height-relative:page;" fillcolor="#FF0000" filled="t" stroked="t" coordsize="21600,21600" o:gfxdata="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RQUSvbAAAACwEAAA8AAAAAAAAAAQAg&#10;AAAAIgAAAGRycy9kb3ducmV2LnhtbFBLAQIUABQAAAAIAIdO4kDutjj1fQIAAAAFAAAOAAAAAAAA&#10;AAEAIAAAACoBAABkcnMvZTJvRG9jLnhtbFBLBQYAAAAABgAGAFkBAAAZBgAAAAA=&#10;" adj="10800">
                <v:fill on="t" focussize="0,0"/>
                <v:stroke weight="1pt" color="#FF0000 [3204]" miterlimit="8" joinstyle="miter"/>
                <v:imagedata o:title=""/>
                <o:lock v:ext="edit" aspectratio="f"/>
              </v:shape>
            </w:pict>
          </mc:Fallback>
        </mc:AlternateContent>
      </w:r>
      <w:r>
        <w:rPr>
          <w:color w:val="auto"/>
          <w:sz w:val="28"/>
        </w:rPr>
        <mc:AlternateContent>
          <mc:Choice Requires="wps">
            <w:drawing>
              <wp:anchor distT="0" distB="0" distL="114300" distR="114300" simplePos="0" relativeHeight="251670528" behindDoc="0" locked="0" layoutInCell="1" allowOverlap="1">
                <wp:simplePos x="0" y="0"/>
                <wp:positionH relativeFrom="column">
                  <wp:posOffset>3312795</wp:posOffset>
                </wp:positionH>
                <wp:positionV relativeFrom="paragraph">
                  <wp:posOffset>3212465</wp:posOffset>
                </wp:positionV>
                <wp:extent cx="694690" cy="342265"/>
                <wp:effectExtent l="64770" t="6350" r="21590" b="413385"/>
                <wp:wrapNone/>
                <wp:docPr id="31" name="圆角矩形标注 31"/>
                <wp:cNvGraphicFramePr/>
                <a:graphic xmlns:a="http://schemas.openxmlformats.org/drawingml/2006/main">
                  <a:graphicData uri="http://schemas.microsoft.com/office/word/2010/wordprocessingShape">
                    <wps:wsp>
                      <wps:cNvSpPr/>
                      <wps:spPr>
                        <a:xfrm>
                          <a:off x="0" y="0"/>
                          <a:ext cx="694690" cy="342265"/>
                        </a:xfrm>
                        <a:prstGeom prst="wedgeRoundRectCallout">
                          <a:avLst>
                            <a:gd name="adj1" fmla="val -56303"/>
                            <a:gd name="adj2" fmla="val 15667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FCD19">
                            <w:pPr>
                              <w:jc w:val="both"/>
                              <w:rPr>
                                <w:rFonts w:hint="default" w:eastAsia="宋体"/>
                                <w:color w:val="auto"/>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r>
                              <w:rPr>
                                <w:rFonts w:hint="eastAsia"/>
                                <w:color w:val="auto"/>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0.85pt;margin-top:252.95pt;height:26.95pt;width:54.7pt;z-index:251670528;v-text-anchor:middle;mso-width-relative:page;mso-height-relative:page;" filled="f" stroked="t" coordsize="21600,21600" o:gfxdata="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Eu1ZjZAAAACwEAAA8AAAAA&#10;AAAAAQAgAAAAIgAAAGRycy9kb3ducmV2LnhtbFBLAQIUABQAAAAIAIdO4kCBMdYDvgIAAGsFAAAO&#10;AAAAAAAAAAEAIAAAACgBAABkcnMvZTJvRG9jLnhtbFBLBQYAAAAABgAGAFkBAABYBgAAAAA=&#10;" adj="-1361,44643,14400">
                <v:fill on="f" focussize="0,0"/>
                <v:stroke weight="1pt" color="#000000 [3213]" miterlimit="8" joinstyle="miter"/>
                <v:imagedata o:title=""/>
                <o:lock v:ext="edit" aspectratio="f"/>
                <v:textbox>
                  <w:txbxContent>
                    <w:p w14:paraId="380FCD19">
                      <w:pPr>
                        <w:jc w:val="both"/>
                        <w:rPr>
                          <w:rFonts w:hint="default" w:eastAsia="宋体"/>
                          <w:color w:val="auto"/>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r>
                        <w:rPr>
                          <w:rFonts w:hint="eastAsia"/>
                          <w:color w:val="auto"/>
                          <w:lang w:val="en-US" w:eastAsia="zh-CN"/>
                        </w:rPr>
                        <w:t xml:space="preserve"> </w:t>
                      </w:r>
                    </w:p>
                  </w:txbxContent>
                </v:textbox>
              </v:shape>
            </w:pict>
          </mc:Fallback>
        </mc:AlternateContent>
      </w:r>
      <w:r>
        <w:rPr>
          <w:color w:val="auto"/>
        </w:rPr>
        <w:drawing>
          <wp:anchor distT="0" distB="0" distL="114300" distR="114300" simplePos="0" relativeHeight="251669504" behindDoc="0" locked="0" layoutInCell="1" allowOverlap="1">
            <wp:simplePos x="0" y="0"/>
            <wp:positionH relativeFrom="column">
              <wp:posOffset>285750</wp:posOffset>
            </wp:positionH>
            <wp:positionV relativeFrom="paragraph">
              <wp:posOffset>19050</wp:posOffset>
            </wp:positionV>
            <wp:extent cx="1085850" cy="5686425"/>
            <wp:effectExtent l="0" t="0" r="0" b="9525"/>
            <wp:wrapNone/>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3"/>
                    <a:srcRect l="7317"/>
                    <a:stretch>
                      <a:fillRect/>
                    </a:stretch>
                  </pic:blipFill>
                  <pic:spPr>
                    <a:xfrm>
                      <a:off x="0" y="0"/>
                      <a:ext cx="1085850" cy="5686425"/>
                    </a:xfrm>
                    <a:prstGeom prst="rect">
                      <a:avLst/>
                    </a:prstGeom>
                    <a:noFill/>
                    <a:ln>
                      <a:noFill/>
                    </a:ln>
                  </pic:spPr>
                </pic:pic>
              </a:graphicData>
            </a:graphic>
          </wp:anchor>
        </w:drawing>
      </w:r>
      <w:r>
        <w:rPr>
          <w:rFonts w:hint="eastAsia" w:ascii="宋体" w:hAnsi="宋体" w:eastAsia="宋体" w:cs="宋体"/>
          <w:color w:val="auto"/>
          <w:sz w:val="28"/>
          <w:szCs w:val="28"/>
          <w:lang w:val="en-US" w:eastAsia="zh-CN"/>
        </w:rPr>
        <w:drawing>
          <wp:inline distT="0" distB="0" distL="114300" distR="114300">
            <wp:extent cx="7200265" cy="5556885"/>
            <wp:effectExtent l="0" t="0" r="5715" b="635"/>
            <wp:docPr id="28" name="图片 28" descr="22c1d1d618ae3d1a96f6f910b5cc5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2c1d1d618ae3d1a96f6f910b5cc58b"/>
                    <pic:cNvPicPr>
                      <a:picLocks noChangeAspect="1"/>
                    </pic:cNvPicPr>
                  </pic:nvPicPr>
                  <pic:blipFill>
                    <a:blip r:embed="rId14"/>
                    <a:srcRect l="2490" t="2075" r="2335"/>
                    <a:stretch>
                      <a:fillRect/>
                    </a:stretch>
                  </pic:blipFill>
                  <pic:spPr>
                    <a:xfrm rot="5400000">
                      <a:off x="0" y="0"/>
                      <a:ext cx="7200265" cy="5556885"/>
                    </a:xfrm>
                    <a:prstGeom prst="rect">
                      <a:avLst/>
                    </a:prstGeom>
                  </pic:spPr>
                </pic:pic>
              </a:graphicData>
            </a:graphic>
          </wp:inline>
        </w:drawing>
      </w:r>
    </w:p>
    <w:p w14:paraId="125BA01D">
      <w:pPr>
        <w:bidi w:val="0"/>
        <w:spacing w:line="360" w:lineRule="auto"/>
        <w:jc w:val="center"/>
        <w:rPr>
          <w:rFonts w:hint="default"/>
          <w:b/>
          <w:bCs/>
          <w:color w:val="auto"/>
          <w:lang w:val="en-US" w:eastAsia="zh-CN"/>
        </w:rPr>
      </w:pPr>
      <w:r>
        <w:rPr>
          <w:rFonts w:hint="eastAsia"/>
          <w:b/>
          <w:bCs/>
          <w:color w:val="auto"/>
          <w:lang w:val="en-US" w:eastAsia="zh-CN"/>
        </w:rPr>
        <w:t>图2.1-3  项目所在地地貌图</w:t>
      </w:r>
    </w:p>
    <w:p w14:paraId="217B785F">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14:paraId="7B8A4669">
      <w:pPr>
        <w:pStyle w:val="5"/>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2.1.5地层岩性</w:t>
      </w:r>
    </w:p>
    <w:p w14:paraId="751F55F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区内地层分布主要受构造控制，盆地内新生界极为发育，前新生界和侵入岩只在秦岭及骊山地区出露。区域地层由老至新依次介绍如下：</w:t>
      </w:r>
    </w:p>
    <w:p w14:paraId="3C1D1D2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(一)前第四系</w:t>
      </w:r>
    </w:p>
    <w:p w14:paraId="2625C14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前第四系地层主要有太古界(Arth)、元古界(Pt</w:t>
      </w:r>
      <w:r>
        <w:rPr>
          <w:rFonts w:hint="eastAsia" w:ascii="宋体" w:hAnsi="宋体" w:eastAsia="宋体" w:cs="宋体"/>
          <w:color w:val="auto"/>
          <w:sz w:val="28"/>
          <w:szCs w:val="28"/>
          <w:vertAlign w:val="subscript"/>
        </w:rPr>
        <w:t>1-2</w:t>
      </w:r>
      <w:r>
        <w:rPr>
          <w:rFonts w:hint="eastAsia" w:ascii="宋体" w:hAnsi="宋体" w:eastAsia="宋体" w:cs="宋体"/>
          <w:color w:val="auto"/>
          <w:sz w:val="28"/>
          <w:szCs w:val="28"/>
        </w:rPr>
        <w:t>)。第三系(R)由下向上依次为下第三系始新统红河组(E</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)、渐新统(E</w:t>
      </w:r>
      <w:r>
        <w:rPr>
          <w:rFonts w:hint="eastAsia" w:ascii="宋体" w:hAnsi="宋体" w:eastAsia="宋体" w:cs="宋体"/>
          <w:color w:val="auto"/>
          <w:sz w:val="28"/>
          <w:szCs w:val="28"/>
          <w:vertAlign w:val="subscript"/>
        </w:rPr>
        <w:t>3</w:t>
      </w:r>
      <w:r>
        <w:rPr>
          <w:rFonts w:hint="eastAsia" w:ascii="宋体" w:hAnsi="宋体" w:eastAsia="宋体" w:cs="宋体"/>
          <w:color w:val="auto"/>
          <w:sz w:val="28"/>
          <w:szCs w:val="28"/>
        </w:rPr>
        <w:t>)；上第三系的中新统(N</w:t>
      </w:r>
      <w:r>
        <w:rPr>
          <w:rFonts w:hint="eastAsia" w:ascii="宋体" w:hAnsi="宋体" w:eastAsia="宋体" w:cs="宋体"/>
          <w:color w:val="auto"/>
          <w:sz w:val="28"/>
          <w:szCs w:val="28"/>
          <w:vertAlign w:val="subscript"/>
        </w:rPr>
        <w:t>l</w:t>
      </w:r>
      <w:r>
        <w:rPr>
          <w:rFonts w:hint="eastAsia" w:ascii="宋体" w:hAnsi="宋体" w:eastAsia="宋体" w:cs="宋体"/>
          <w:color w:val="auto"/>
          <w:sz w:val="28"/>
          <w:szCs w:val="28"/>
        </w:rPr>
        <w:t>)和上新统(N</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)。由于盆地不对称断陷的影响，从老到新覆盖面积逐步扩大。第三系为一套冲湖积、湖积及冲洪积砂岩、泥岩，呈韵律状互层，广泛分布，出露于骊山西南，大多埋藏于盆地第四系之下。</w:t>
      </w:r>
    </w:p>
    <w:p w14:paraId="56E9782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(二)第四系(Q)</w:t>
      </w:r>
    </w:p>
    <w:p w14:paraId="588E7D9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第四系分布广泛，成因类型多，主要有冲积、冲洪积、风积、冲湖积和洪积层，其次有坡积和冰水沉积等。</w:t>
      </w:r>
    </w:p>
    <w:p w14:paraId="1A0E879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（1）冲积层(Q</w:t>
      </w:r>
      <w:r>
        <w:rPr>
          <w:rFonts w:hint="eastAsia" w:ascii="宋体" w:hAnsi="宋体" w:eastAsia="宋体" w:cs="宋体"/>
          <w:color w:val="auto"/>
          <w:sz w:val="28"/>
          <w:szCs w:val="28"/>
          <w:vertAlign w:val="superscript"/>
        </w:rPr>
        <w:t>a1</w:t>
      </w:r>
      <w:r>
        <w:rPr>
          <w:rFonts w:hint="eastAsia" w:ascii="宋体" w:hAnsi="宋体" w:eastAsia="宋体" w:cs="宋体"/>
          <w:color w:val="auto"/>
          <w:sz w:val="28"/>
          <w:szCs w:val="28"/>
        </w:rPr>
        <w:t>)</w:t>
      </w:r>
    </w:p>
    <w:p w14:paraId="4739AD1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全新统下部冲积层(Q</w:t>
      </w:r>
      <w:r>
        <w:rPr>
          <w:rFonts w:hint="eastAsia" w:ascii="宋体" w:hAnsi="宋体" w:eastAsia="宋体" w:cs="宋体"/>
          <w:color w:val="auto"/>
          <w:sz w:val="28"/>
          <w:szCs w:val="28"/>
          <w:vertAlign w:val="subscript"/>
        </w:rPr>
        <w:t>4</w:t>
      </w:r>
      <w:r>
        <w:rPr>
          <w:rFonts w:hint="eastAsia" w:ascii="宋体" w:hAnsi="宋体" w:eastAsia="宋体" w:cs="宋体"/>
          <w:color w:val="auto"/>
          <w:sz w:val="28"/>
          <w:szCs w:val="28"/>
          <w:vertAlign w:val="superscript"/>
        </w:rPr>
        <w:t>1al</w:t>
      </w:r>
      <w:r>
        <w:rPr>
          <w:rFonts w:hint="eastAsia" w:ascii="宋体" w:hAnsi="宋体" w:eastAsia="宋体" w:cs="宋体"/>
          <w:color w:val="auto"/>
          <w:sz w:val="28"/>
          <w:szCs w:val="28"/>
        </w:rPr>
        <w:t>)：分布于渭河及其支流的一级阶地区。岩性上部以粉质粘土为主，下部为砂、砾卵石，具有下粗上细的二元结构。厚度12-30m。</w:t>
      </w:r>
    </w:p>
    <w:p w14:paraId="643C5A5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全新统上部冲积层(Q</w:t>
      </w:r>
      <w:r>
        <w:rPr>
          <w:rFonts w:hint="eastAsia" w:ascii="宋体" w:hAnsi="宋体" w:eastAsia="宋体" w:cs="宋体"/>
          <w:color w:val="auto"/>
          <w:sz w:val="28"/>
          <w:szCs w:val="28"/>
          <w:vertAlign w:val="subscript"/>
        </w:rPr>
        <w:t>4</w:t>
      </w:r>
      <w:r>
        <w:rPr>
          <w:rFonts w:hint="eastAsia" w:ascii="宋体" w:hAnsi="宋体" w:eastAsia="宋体" w:cs="宋体"/>
          <w:color w:val="auto"/>
          <w:sz w:val="28"/>
          <w:szCs w:val="28"/>
          <w:vertAlign w:val="superscript"/>
        </w:rPr>
        <w:t>2al</w:t>
      </w:r>
      <w:r>
        <w:rPr>
          <w:rFonts w:hint="eastAsia" w:ascii="宋体" w:hAnsi="宋体" w:eastAsia="宋体" w:cs="宋体"/>
          <w:color w:val="auto"/>
          <w:sz w:val="28"/>
          <w:szCs w:val="28"/>
        </w:rPr>
        <w:t>)：分布于渭河及其支流的河漫滩地区。岩性主要为粉质粘土、砂及砂砾卵石。厚度逾20m。（2）风积层(Q</w:t>
      </w:r>
      <w:r>
        <w:rPr>
          <w:rFonts w:hint="eastAsia" w:ascii="宋体" w:hAnsi="宋体" w:eastAsia="宋体" w:cs="宋体"/>
          <w:color w:val="auto"/>
          <w:sz w:val="28"/>
          <w:szCs w:val="28"/>
          <w:vertAlign w:val="superscript"/>
        </w:rPr>
        <w:t>eol</w:t>
      </w:r>
      <w:r>
        <w:rPr>
          <w:rFonts w:hint="eastAsia" w:ascii="宋体" w:hAnsi="宋体" w:eastAsia="宋体" w:cs="宋体"/>
          <w:color w:val="auto"/>
          <w:sz w:val="28"/>
          <w:szCs w:val="28"/>
        </w:rPr>
        <w:t>)</w:t>
      </w:r>
    </w:p>
    <w:p w14:paraId="1A2CD4A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下更新统风积层(Q</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vertAlign w:val="superscript"/>
        </w:rPr>
        <w:t>eol</w:t>
      </w:r>
      <w:r>
        <w:rPr>
          <w:rFonts w:hint="eastAsia" w:ascii="宋体" w:hAnsi="宋体" w:eastAsia="宋体" w:cs="宋体"/>
          <w:color w:val="auto"/>
          <w:sz w:val="28"/>
          <w:szCs w:val="28"/>
        </w:rPr>
        <w:t>)：分布于黄土台塬和黄土丘陵区，出露于塬边及切割较深的黄土沟谷中。岩性为黄土夹10余层古土壌。黄土致密坚硬，古土壤中淀积层发育，下部的古土壤已为钙板层所代替。以第十五层古土壤顶面为界，可划分为下更新统上部风积黄土(Q</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vertAlign w:val="superscript"/>
        </w:rPr>
        <w:t>2eol</w:t>
      </w:r>
      <w:r>
        <w:rPr>
          <w:rFonts w:hint="eastAsia" w:ascii="宋体" w:hAnsi="宋体" w:eastAsia="宋体" w:cs="宋体"/>
          <w:color w:val="auto"/>
          <w:sz w:val="28"/>
          <w:szCs w:val="28"/>
        </w:rPr>
        <w:t>)和下更新统下部风积黄土(Q</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vertAlign w:val="superscript"/>
        </w:rPr>
        <w:t>1eol</w:t>
      </w:r>
      <w:r>
        <w:rPr>
          <w:rFonts w:hint="eastAsia" w:ascii="宋体" w:hAnsi="宋体" w:eastAsia="宋体" w:cs="宋体"/>
          <w:color w:val="auto"/>
          <w:sz w:val="28"/>
          <w:szCs w:val="28"/>
        </w:rPr>
        <w:t>)，厚逾40m。</w:t>
      </w:r>
    </w:p>
    <w:p w14:paraId="4D6CF16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中更新统风积层(Q</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vertAlign w:val="superscript"/>
        </w:rPr>
        <w:t>eol</w:t>
      </w:r>
      <w:r>
        <w:rPr>
          <w:rFonts w:hint="eastAsia" w:ascii="宋体" w:hAnsi="宋体" w:eastAsia="宋体" w:cs="宋体"/>
          <w:color w:val="auto"/>
          <w:sz w:val="28"/>
          <w:szCs w:val="28"/>
        </w:rPr>
        <w:t>)：主要分布于黄土塬和黄土丘陵区，出露于黄土台塬、黄土梁洼及黄土丘陵的边部和冲沟中。岩性为黄土夹7 层棕红色古土壤，黄土较为致密。以第五层古土壤底部为界，划分为中更新统上、下部(Q</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vertAlign w:val="superscript"/>
        </w:rPr>
        <w:t>2eol</w:t>
      </w:r>
      <w:r>
        <w:rPr>
          <w:rFonts w:hint="eastAsia" w:ascii="宋体" w:hAnsi="宋体" w:eastAsia="宋体" w:cs="宋体"/>
          <w:color w:val="auto"/>
          <w:sz w:val="28"/>
          <w:szCs w:val="28"/>
        </w:rPr>
        <w:t xml:space="preserve"> 和Q</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vertAlign w:val="superscript"/>
        </w:rPr>
        <w:t>1eol</w:t>
      </w:r>
      <w:r>
        <w:rPr>
          <w:rFonts w:hint="eastAsia" w:ascii="宋体" w:hAnsi="宋体" w:eastAsia="宋体" w:cs="宋体"/>
          <w:color w:val="auto"/>
          <w:sz w:val="28"/>
          <w:szCs w:val="28"/>
        </w:rPr>
        <w:t>)。总厚48m-65m。</w:t>
      </w:r>
    </w:p>
    <w:p w14:paraId="666BE8A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上更新统风积层(Q</w:t>
      </w:r>
      <w:r>
        <w:rPr>
          <w:rFonts w:hint="eastAsia" w:ascii="宋体" w:hAnsi="宋体" w:eastAsia="宋体" w:cs="宋体"/>
          <w:color w:val="auto"/>
          <w:sz w:val="28"/>
          <w:szCs w:val="28"/>
          <w:vertAlign w:val="subscript"/>
        </w:rPr>
        <w:t>3</w:t>
      </w:r>
      <w:r>
        <w:rPr>
          <w:rFonts w:hint="eastAsia" w:ascii="宋体" w:hAnsi="宋体" w:eastAsia="宋体" w:cs="宋体"/>
          <w:color w:val="auto"/>
          <w:sz w:val="28"/>
          <w:szCs w:val="28"/>
          <w:vertAlign w:val="superscript"/>
        </w:rPr>
        <w:t>eol</w:t>
      </w:r>
      <w:r>
        <w:rPr>
          <w:rFonts w:hint="eastAsia" w:ascii="宋体" w:hAnsi="宋体" w:eastAsia="宋体" w:cs="宋体"/>
          <w:color w:val="auto"/>
          <w:sz w:val="28"/>
          <w:szCs w:val="28"/>
        </w:rPr>
        <w:t>)：广泛分布于二级以上的阶地、冲洪积平原、洪积扇及黄土台塬之上。包含第一层古土壤及其以上的黄土。黄土疏松、垂直节理发育，多根系虫孔；古土壤棕褐色，底部含钙质小结核。厚度8-10m。</w:t>
      </w:r>
    </w:p>
    <w:p w14:paraId="271CD64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（3）洪积层(Q</w:t>
      </w:r>
      <w:r>
        <w:rPr>
          <w:rFonts w:hint="eastAsia" w:ascii="宋体" w:hAnsi="宋体" w:eastAsia="宋体" w:cs="宋体"/>
          <w:color w:val="auto"/>
          <w:sz w:val="28"/>
          <w:szCs w:val="28"/>
          <w:vertAlign w:val="superscript"/>
        </w:rPr>
        <w:t>pl</w:t>
      </w:r>
      <w:r>
        <w:rPr>
          <w:rFonts w:hint="eastAsia" w:ascii="宋体" w:hAnsi="宋体" w:eastAsia="宋体" w:cs="宋体"/>
          <w:color w:val="auto"/>
          <w:sz w:val="28"/>
          <w:szCs w:val="28"/>
        </w:rPr>
        <w:t>)</w:t>
      </w:r>
    </w:p>
    <w:p w14:paraId="7A4D8A8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全新统下部洪积层(Q</w:t>
      </w:r>
      <w:r>
        <w:rPr>
          <w:rFonts w:hint="eastAsia" w:ascii="宋体" w:hAnsi="宋体" w:eastAsia="宋体" w:cs="宋体"/>
          <w:color w:val="auto"/>
          <w:sz w:val="28"/>
          <w:szCs w:val="28"/>
          <w:vertAlign w:val="subscript"/>
        </w:rPr>
        <w:t>4</w:t>
      </w:r>
      <w:r>
        <w:rPr>
          <w:rFonts w:hint="eastAsia" w:ascii="宋体" w:hAnsi="宋体" w:eastAsia="宋体" w:cs="宋体"/>
          <w:color w:val="auto"/>
          <w:sz w:val="28"/>
          <w:szCs w:val="28"/>
          <w:vertAlign w:val="superscript"/>
        </w:rPr>
        <w:t>1pl</w:t>
      </w:r>
      <w:r>
        <w:rPr>
          <w:rFonts w:hint="eastAsia" w:ascii="宋体" w:hAnsi="宋体" w:eastAsia="宋体" w:cs="宋体"/>
          <w:color w:val="auto"/>
          <w:sz w:val="28"/>
          <w:szCs w:val="28"/>
        </w:rPr>
        <w:t>)：分布于秦岭山前和骊山北麓，常形成洪积扇裙。岩性以粉质粘土、粉土及砂砾石为主。本次调查区位于该区域。</w:t>
      </w:r>
    </w:p>
    <w:p w14:paraId="7C4965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全新统上部洪积层(Q</w:t>
      </w:r>
      <w:r>
        <w:rPr>
          <w:rFonts w:hint="eastAsia" w:ascii="宋体" w:hAnsi="宋体" w:eastAsia="宋体" w:cs="宋体"/>
          <w:color w:val="auto"/>
          <w:sz w:val="28"/>
          <w:szCs w:val="28"/>
          <w:vertAlign w:val="subscript"/>
        </w:rPr>
        <w:t>4</w:t>
      </w:r>
      <w:r>
        <w:rPr>
          <w:rFonts w:hint="eastAsia" w:ascii="宋体" w:hAnsi="宋体" w:eastAsia="宋体" w:cs="宋体"/>
          <w:color w:val="auto"/>
          <w:sz w:val="28"/>
          <w:szCs w:val="28"/>
          <w:vertAlign w:val="superscript"/>
        </w:rPr>
        <w:t>2pl</w:t>
      </w:r>
      <w:r>
        <w:rPr>
          <w:rFonts w:hint="eastAsia" w:ascii="宋体" w:hAnsi="宋体" w:eastAsia="宋体" w:cs="宋体"/>
          <w:color w:val="auto"/>
          <w:sz w:val="28"/>
          <w:szCs w:val="28"/>
        </w:rPr>
        <w:t>〉：主要分布于秦岭、骊山山前各沟口、黄土台塬边部及二级阶地前缘冲沟口。山前岩性以砂砾卵石夹粉土为主，粒径粗大，磨圆度差。塬边及二级阶地前缘以粉质粘土、粘土为主，局部夹砂砾石。厚数米至20 米。</w:t>
      </w:r>
    </w:p>
    <w:p w14:paraId="7DAE1E6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（4）全新统坡积层(Q</w:t>
      </w:r>
      <w:r>
        <w:rPr>
          <w:rFonts w:hint="eastAsia" w:ascii="宋体" w:hAnsi="宋体" w:eastAsia="宋体" w:cs="宋体"/>
          <w:color w:val="auto"/>
          <w:sz w:val="28"/>
          <w:szCs w:val="28"/>
          <w:vertAlign w:val="subscript"/>
        </w:rPr>
        <w:t>4</w:t>
      </w:r>
      <w:r>
        <w:rPr>
          <w:rFonts w:hint="eastAsia" w:ascii="宋体" w:hAnsi="宋体" w:eastAsia="宋体" w:cs="宋体"/>
          <w:color w:val="auto"/>
          <w:sz w:val="28"/>
          <w:szCs w:val="28"/>
          <w:vertAlign w:val="superscript"/>
        </w:rPr>
        <w:t>dl</w:t>
      </w:r>
      <w:r>
        <w:rPr>
          <w:rFonts w:hint="eastAsia" w:ascii="宋体" w:hAnsi="宋体" w:eastAsia="宋体" w:cs="宋体"/>
          <w:color w:val="auto"/>
          <w:sz w:val="28"/>
          <w:szCs w:val="28"/>
        </w:rPr>
        <w:t>)</w:t>
      </w:r>
    </w:p>
    <w:p w14:paraId="75385D6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主要发育于黄土丘陵中深切的沟谷两侧，浐河东侧、灞河西侧。岩性为黄土状土、粉质粘土及砂砾石的混杂体。</w:t>
      </w:r>
    </w:p>
    <w:p w14:paraId="00799CF7">
      <w:pPr>
        <w:bidi w:val="0"/>
        <w:jc w:val="center"/>
        <w:rPr>
          <w:rFonts w:hint="eastAsia"/>
          <w:color w:val="auto"/>
          <w:lang w:val="en-US" w:eastAsia="zh-CN"/>
        </w:rPr>
      </w:pPr>
      <w:r>
        <w:rPr>
          <w:color w:val="auto"/>
          <w:sz w:val="28"/>
        </w:rPr>
        <mc:AlternateContent>
          <mc:Choice Requires="wps">
            <w:drawing>
              <wp:anchor distT="0" distB="0" distL="114300" distR="114300" simplePos="0" relativeHeight="251668480" behindDoc="0" locked="0" layoutInCell="1" allowOverlap="1">
                <wp:simplePos x="0" y="0"/>
                <wp:positionH relativeFrom="column">
                  <wp:posOffset>3228340</wp:posOffset>
                </wp:positionH>
                <wp:positionV relativeFrom="paragraph">
                  <wp:posOffset>3967480</wp:posOffset>
                </wp:positionV>
                <wp:extent cx="75565" cy="75565"/>
                <wp:effectExtent l="10160" t="13970" r="28575" b="24765"/>
                <wp:wrapNone/>
                <wp:docPr id="27" name="等腰三角形 27"/>
                <wp:cNvGraphicFramePr/>
                <a:graphic xmlns:a="http://schemas.openxmlformats.org/drawingml/2006/main">
                  <a:graphicData uri="http://schemas.microsoft.com/office/word/2010/wordprocessingShape">
                    <wps:wsp>
                      <wps:cNvSpPr/>
                      <wps:spPr>
                        <a:xfrm>
                          <a:off x="0" y="0"/>
                          <a:ext cx="75565" cy="7556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54.2pt;margin-top:312.4pt;height:5.95pt;width:5.95pt;z-index:251668480;v-text-anchor:middle;mso-width-relative:page;mso-height-relative:page;" fillcolor="#FF0000" filled="t" stroked="t" coordsize="21600,21600" o:gfxdata="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cMWF/cAAAACwEAAA8AAAAAAAAAAQAg&#10;AAAAIgAAAGRycy9kb3ducmV2LnhtbFBLAQIUABQAAAAIAIdO4kB0mb8HfAIAAAAFAAAOAAAAAAAA&#10;AAEAIAAAACsBAABkcnMvZTJvRG9jLnhtbFBLBQYAAAAABgAGAFkBAAAZBgAAAAA=&#10;" adj="10800">
                <v:fill on="t" focussize="0,0"/>
                <v:stroke weight="1pt" color="#FF0000 [3204]" miterlimit="8" joinstyle="miter"/>
                <v:imagedata o:title=""/>
                <o:lock v:ext="edit" aspectratio="f"/>
              </v:shape>
            </w:pict>
          </mc:Fallback>
        </mc:AlternateContent>
      </w:r>
      <w:r>
        <w:rPr>
          <w:color w:val="auto"/>
          <w:sz w:val="28"/>
        </w:rPr>
        <mc:AlternateContent>
          <mc:Choice Requires="wps">
            <w:drawing>
              <wp:anchor distT="0" distB="0" distL="114300" distR="114300" simplePos="0" relativeHeight="251667456" behindDoc="0" locked="0" layoutInCell="1" allowOverlap="1">
                <wp:simplePos x="0" y="0"/>
                <wp:positionH relativeFrom="column">
                  <wp:posOffset>3316605</wp:posOffset>
                </wp:positionH>
                <wp:positionV relativeFrom="paragraph">
                  <wp:posOffset>3312795</wp:posOffset>
                </wp:positionV>
                <wp:extent cx="694690" cy="342265"/>
                <wp:effectExtent l="64770" t="6350" r="21590" b="413385"/>
                <wp:wrapNone/>
                <wp:docPr id="25" name="圆角矩形标注 25"/>
                <wp:cNvGraphicFramePr/>
                <a:graphic xmlns:a="http://schemas.openxmlformats.org/drawingml/2006/main">
                  <a:graphicData uri="http://schemas.microsoft.com/office/word/2010/wordprocessingShape">
                    <wps:wsp>
                      <wps:cNvSpPr/>
                      <wps:spPr>
                        <a:xfrm>
                          <a:off x="0" y="0"/>
                          <a:ext cx="694690" cy="342265"/>
                        </a:xfrm>
                        <a:prstGeom prst="wedgeRoundRectCallout">
                          <a:avLst>
                            <a:gd name="adj1" fmla="val -56303"/>
                            <a:gd name="adj2" fmla="val 15667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F1B20">
                            <w:pPr>
                              <w:jc w:val="both"/>
                              <w:rPr>
                                <w:rFonts w:hint="default" w:eastAsia="宋体"/>
                                <w:color w:val="auto"/>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r>
                              <w:rPr>
                                <w:rFonts w:hint="eastAsia"/>
                                <w:color w:val="auto"/>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1.15pt;margin-top:260.85pt;height:26.95pt;width:54.7pt;z-index:251667456;v-text-anchor:middle;mso-width-relative:page;mso-height-relative:page;" filled="f" stroked="t" coordsize="21600,21600" o:gfxdata="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ykb8D9gAAAALAQAADwAAAAAA&#10;AAABACAAAAAiAAAAZHJzL2Rvd25yZXYueG1sUEsBAhQAFAAAAAgAh07iQCcrL36+AgAAawUAAA4A&#10;AAAAAAAAAQAgAAAAJwEAAGRycy9lMm9Eb2MueG1sUEsFBgAAAAAGAAYAWQEAAFcGAAAAAA==&#10;" adj="-1361,44643,14400">
                <v:fill on="f" focussize="0,0"/>
                <v:stroke weight="1pt" color="#000000 [3213]" miterlimit="8" joinstyle="miter"/>
                <v:imagedata o:title=""/>
                <o:lock v:ext="edit" aspectratio="f"/>
                <v:textbox>
                  <w:txbxContent>
                    <w:p w14:paraId="08BF1B20">
                      <w:pPr>
                        <w:jc w:val="both"/>
                        <w:rPr>
                          <w:rFonts w:hint="default" w:eastAsia="宋体"/>
                          <w:color w:val="auto"/>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r>
                        <w:rPr>
                          <w:rFonts w:hint="eastAsia"/>
                          <w:color w:val="auto"/>
                          <w:lang w:val="en-US" w:eastAsia="zh-CN"/>
                        </w:rPr>
                        <w:t xml:space="preserve"> </w:t>
                      </w:r>
                    </w:p>
                  </w:txbxContent>
                </v:textbox>
              </v:shape>
            </w:pict>
          </mc:Fallback>
        </mc:AlternateContent>
      </w:r>
      <w:r>
        <w:rPr>
          <w:color w:val="auto"/>
        </w:rPr>
        <w:drawing>
          <wp:anchor distT="0" distB="0" distL="114300" distR="114300" simplePos="0" relativeHeight="251666432" behindDoc="0" locked="0" layoutInCell="1" allowOverlap="1">
            <wp:simplePos x="0" y="0"/>
            <wp:positionH relativeFrom="column">
              <wp:posOffset>342900</wp:posOffset>
            </wp:positionH>
            <wp:positionV relativeFrom="paragraph">
              <wp:posOffset>72390</wp:posOffset>
            </wp:positionV>
            <wp:extent cx="1057275" cy="5638800"/>
            <wp:effectExtent l="0" t="0" r="9525" b="0"/>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a:srcRect r="11200"/>
                    <a:stretch>
                      <a:fillRect/>
                    </a:stretch>
                  </pic:blipFill>
                  <pic:spPr>
                    <a:xfrm>
                      <a:off x="0" y="0"/>
                      <a:ext cx="1057275" cy="5638800"/>
                    </a:xfrm>
                    <a:prstGeom prst="rect">
                      <a:avLst/>
                    </a:prstGeom>
                    <a:noFill/>
                    <a:ln>
                      <a:noFill/>
                    </a:ln>
                  </pic:spPr>
                </pic:pic>
              </a:graphicData>
            </a:graphic>
          </wp:anchor>
        </w:drawing>
      </w:r>
      <w:r>
        <w:rPr>
          <w:rFonts w:hint="eastAsia"/>
          <w:color w:val="auto"/>
          <w:lang w:val="en-US" w:eastAsia="zh-CN"/>
        </w:rPr>
        <w:drawing>
          <wp:inline distT="0" distB="0" distL="114300" distR="114300">
            <wp:extent cx="7200265" cy="5586730"/>
            <wp:effectExtent l="0" t="0" r="13970" b="635"/>
            <wp:docPr id="14" name="图片 14" descr="eea4223a28200d75df542f28418a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ea4223a28200d75df542f28418a0d1"/>
                    <pic:cNvPicPr>
                      <a:picLocks noChangeAspect="1"/>
                    </pic:cNvPicPr>
                  </pic:nvPicPr>
                  <pic:blipFill>
                    <a:blip r:embed="rId16"/>
                    <a:srcRect l="2352" t="1568" r="2499"/>
                    <a:stretch>
                      <a:fillRect/>
                    </a:stretch>
                  </pic:blipFill>
                  <pic:spPr>
                    <a:xfrm rot="5400000">
                      <a:off x="0" y="0"/>
                      <a:ext cx="7200265" cy="5586730"/>
                    </a:xfrm>
                    <a:prstGeom prst="rect">
                      <a:avLst/>
                    </a:prstGeom>
                  </pic:spPr>
                </pic:pic>
              </a:graphicData>
            </a:graphic>
          </wp:inline>
        </w:drawing>
      </w:r>
    </w:p>
    <w:p w14:paraId="7EFF25C8">
      <w:pPr>
        <w:bidi w:val="0"/>
        <w:spacing w:line="360" w:lineRule="auto"/>
        <w:jc w:val="center"/>
        <w:rPr>
          <w:rFonts w:hint="eastAsia"/>
          <w:color w:val="auto"/>
          <w:lang w:val="en-US" w:eastAsia="zh-CN"/>
        </w:rPr>
      </w:pPr>
      <w:r>
        <w:rPr>
          <w:rFonts w:hint="eastAsia"/>
          <w:b/>
          <w:bCs/>
          <w:color w:val="auto"/>
          <w:lang w:val="en-US" w:eastAsia="zh-CN"/>
        </w:rPr>
        <w:t>图2.1-4  项目所在地地质图</w:t>
      </w:r>
    </w:p>
    <w:p w14:paraId="3EC91A02">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br w:type="page"/>
      </w:r>
    </w:p>
    <w:p w14:paraId="358D4818">
      <w:pPr>
        <w:pStyle w:val="5"/>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2.1.6地下水饮用水水源水文地质特征</w:t>
      </w:r>
    </w:p>
    <w:p w14:paraId="02AB08B8">
      <w:pPr>
        <w:spacing w:line="360" w:lineRule="auto"/>
        <w:ind w:firstLine="560" w:firstLineChars="200"/>
        <w:rPr>
          <w:rFonts w:hint="eastAsia" w:ascii="Times New Roman" w:hAnsi="Times New Roman" w:cs="Times New Roman"/>
          <w:color w:val="auto"/>
          <w:sz w:val="28"/>
          <w:szCs w:val="28"/>
          <w:shd w:val="clear" w:color="auto" w:fill="FFFFFF"/>
          <w:lang w:val="en-US" w:eastAsia="zh-CN"/>
        </w:rPr>
      </w:pPr>
      <w:r>
        <w:rPr>
          <w:rFonts w:hint="eastAsia" w:ascii="Times New Roman" w:hAnsi="Times New Roman" w:cs="Times New Roman"/>
          <w:color w:val="auto"/>
          <w:sz w:val="28"/>
          <w:szCs w:val="28"/>
          <w:shd w:val="clear" w:color="auto" w:fill="FFFFFF"/>
          <w:lang w:val="en-US" w:eastAsia="zh-CN"/>
        </w:rPr>
        <w:t>灞桥区地下水按赋存条件和力学性质，可分为潜水和承压水。</w:t>
      </w:r>
    </w:p>
    <w:p w14:paraId="0E7881AF">
      <w:pPr>
        <w:spacing w:line="360" w:lineRule="auto"/>
        <w:ind w:firstLine="560" w:firstLineChars="200"/>
        <w:rPr>
          <w:rFonts w:hint="default" w:ascii="Times New Roman" w:hAnsi="Times New Roman" w:cs="Times New Roman"/>
          <w:color w:val="auto"/>
          <w:sz w:val="28"/>
          <w:szCs w:val="28"/>
          <w:shd w:val="clear" w:color="auto" w:fill="FFFFFF"/>
          <w:lang w:val="en-US" w:eastAsia="zh-CN"/>
        </w:rPr>
      </w:pPr>
      <w:r>
        <w:rPr>
          <w:rFonts w:hint="eastAsia" w:ascii="Times New Roman" w:hAnsi="Times New Roman" w:cs="Times New Roman"/>
          <w:color w:val="auto"/>
          <w:sz w:val="28"/>
          <w:szCs w:val="28"/>
          <w:shd w:val="clear" w:color="auto" w:fill="FFFFFF"/>
          <w:lang w:val="en-US" w:eastAsia="zh-CN"/>
        </w:rPr>
        <w:t>①潜水</w:t>
      </w:r>
    </w:p>
    <w:p w14:paraId="5E3E9DC9">
      <w:pPr>
        <w:spacing w:line="360" w:lineRule="auto"/>
        <w:ind w:firstLine="560" w:firstLineChars="200"/>
        <w:rPr>
          <w:rFonts w:hint="default" w:ascii="Times New Roman" w:hAnsi="Times New Roman" w:cs="Times New Roman"/>
          <w:color w:val="auto"/>
          <w:sz w:val="28"/>
          <w:szCs w:val="28"/>
          <w:shd w:val="clear" w:color="auto" w:fill="FFFFFF"/>
        </w:rPr>
      </w:pPr>
      <w:r>
        <w:rPr>
          <w:rFonts w:hint="eastAsia" w:ascii="Times New Roman" w:hAnsi="Times New Roman" w:cs="Times New Roman"/>
          <w:color w:val="auto"/>
          <w:sz w:val="28"/>
          <w:szCs w:val="28"/>
          <w:shd w:val="clear" w:color="auto" w:fill="FFFFFF"/>
          <w:lang w:val="en-US" w:eastAsia="zh-CN"/>
        </w:rPr>
        <w:t>潜水类型主要为松散岩类孔隙水和基岩裂隙水。松散岩类孔隙水中，极强富水（单井涌水量大于5000m</w:t>
      </w:r>
      <w:r>
        <w:rPr>
          <w:rFonts w:hint="eastAsia" w:ascii="Times New Roman" w:hAnsi="Times New Roman" w:cs="Times New Roman"/>
          <w:color w:val="auto"/>
          <w:sz w:val="28"/>
          <w:szCs w:val="28"/>
          <w:shd w:val="clear" w:color="auto" w:fill="FFFFFF"/>
          <w:vertAlign w:val="superscript"/>
          <w:lang w:val="en-US" w:eastAsia="zh-CN"/>
        </w:rPr>
        <w:t>3</w:t>
      </w:r>
      <w:r>
        <w:rPr>
          <w:rFonts w:hint="eastAsia" w:ascii="Times New Roman" w:hAnsi="Times New Roman" w:cs="Times New Roman"/>
          <w:color w:val="auto"/>
          <w:sz w:val="28"/>
          <w:szCs w:val="28"/>
          <w:shd w:val="clear" w:color="auto" w:fill="FFFFFF"/>
          <w:lang w:val="en-US" w:eastAsia="zh-CN"/>
        </w:rPr>
        <w:t>/d）主要分布于渭河沿岸</w:t>
      </w:r>
      <w:r>
        <w:rPr>
          <w:rFonts w:hint="default"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含</w:t>
      </w:r>
      <w:r>
        <w:rPr>
          <w:rFonts w:hint="default" w:ascii="Times New Roman" w:hAnsi="Times New Roman" w:cs="Times New Roman"/>
          <w:color w:val="auto"/>
          <w:sz w:val="28"/>
          <w:szCs w:val="28"/>
          <w:shd w:val="clear" w:color="auto" w:fill="FFFFFF"/>
        </w:rPr>
        <w:t>水层为</w:t>
      </w:r>
      <w:r>
        <w:rPr>
          <w:rFonts w:hint="eastAsia" w:ascii="Times New Roman" w:hAnsi="Times New Roman" w:cs="Times New Roman"/>
          <w:color w:val="auto"/>
          <w:sz w:val="28"/>
          <w:szCs w:val="28"/>
          <w:shd w:val="clear" w:color="auto" w:fill="FFFFFF"/>
          <w:lang w:val="en-US" w:eastAsia="zh-CN"/>
        </w:rPr>
        <w:t>冲积粗砂砾石，含水层厚42-81m，平均达60m，渗透系数10-72m/d，抽水水位降低0.49-4.31m，水质较好。中等富水（单井涌水量500-1000m</w:t>
      </w:r>
      <w:r>
        <w:rPr>
          <w:rFonts w:hint="eastAsia" w:ascii="Times New Roman" w:hAnsi="Times New Roman" w:cs="Times New Roman"/>
          <w:color w:val="auto"/>
          <w:sz w:val="28"/>
          <w:szCs w:val="28"/>
          <w:shd w:val="clear" w:color="auto" w:fill="FFFFFF"/>
          <w:vertAlign w:val="superscript"/>
          <w:lang w:val="en-US" w:eastAsia="zh-CN"/>
        </w:rPr>
        <w:t>3</w:t>
      </w:r>
      <w:r>
        <w:rPr>
          <w:rFonts w:hint="eastAsia" w:ascii="Times New Roman" w:hAnsi="Times New Roman" w:cs="Times New Roman"/>
          <w:color w:val="auto"/>
          <w:sz w:val="28"/>
          <w:szCs w:val="28"/>
          <w:shd w:val="clear" w:color="auto" w:fill="FFFFFF"/>
          <w:lang w:val="en-US" w:eastAsia="zh-CN"/>
        </w:rPr>
        <w:t>/d）主要分布于浐河、灞河沿岸，含水层为冲积含砾中粗砂，厚20m，矿化度多为1-3g/L。弱富水区（单井涌水量100-500m</w:t>
      </w:r>
      <w:r>
        <w:rPr>
          <w:rFonts w:hint="eastAsia" w:ascii="Times New Roman" w:hAnsi="Times New Roman" w:cs="Times New Roman"/>
          <w:color w:val="auto"/>
          <w:sz w:val="28"/>
          <w:szCs w:val="28"/>
          <w:shd w:val="clear" w:color="auto" w:fill="FFFFFF"/>
          <w:vertAlign w:val="superscript"/>
          <w:lang w:val="en-US" w:eastAsia="zh-CN"/>
        </w:rPr>
        <w:t>3</w:t>
      </w:r>
      <w:r>
        <w:rPr>
          <w:rFonts w:hint="eastAsia" w:ascii="Times New Roman" w:hAnsi="Times New Roman" w:cs="Times New Roman"/>
          <w:color w:val="auto"/>
          <w:sz w:val="28"/>
          <w:szCs w:val="28"/>
          <w:shd w:val="clear" w:color="auto" w:fill="FFFFFF"/>
          <w:lang w:val="en-US" w:eastAsia="zh-CN"/>
        </w:rPr>
        <w:t>/d）主要分布在狄寨塬，含水层为</w:t>
      </w:r>
      <w:r>
        <w:rPr>
          <w:rFonts w:hint="default" w:ascii="Times New Roman" w:hAnsi="Times New Roman" w:cs="Times New Roman"/>
          <w:color w:val="auto"/>
          <w:sz w:val="28"/>
          <w:szCs w:val="28"/>
          <w:shd w:val="clear" w:color="auto" w:fill="FFFFFF"/>
        </w:rPr>
        <w:t>风积黄</w:t>
      </w:r>
      <w:r>
        <w:rPr>
          <w:rFonts w:hint="eastAsia" w:ascii="Times New Roman" w:hAnsi="Times New Roman" w:cs="Times New Roman"/>
          <w:color w:val="auto"/>
          <w:sz w:val="28"/>
          <w:szCs w:val="28"/>
          <w:shd w:val="clear" w:color="auto" w:fill="FFFFFF"/>
          <w:lang w:val="en-US" w:eastAsia="zh-CN"/>
        </w:rPr>
        <w:t>土</w:t>
      </w:r>
      <w:r>
        <w:rPr>
          <w:rFonts w:hint="default" w:ascii="Times New Roman" w:hAnsi="Times New Roman" w:cs="Times New Roman"/>
          <w:color w:val="auto"/>
          <w:sz w:val="28"/>
          <w:szCs w:val="28"/>
          <w:shd w:val="clear" w:color="auto" w:fill="FFFFFF"/>
        </w:rPr>
        <w:t>及古</w:t>
      </w:r>
      <w:r>
        <w:rPr>
          <w:rFonts w:hint="eastAsia" w:ascii="Times New Roman" w:hAnsi="Times New Roman" w:cs="Times New Roman"/>
          <w:color w:val="auto"/>
          <w:sz w:val="28"/>
          <w:szCs w:val="28"/>
          <w:shd w:val="clear" w:color="auto" w:fill="FFFFFF"/>
          <w:lang w:val="en-US" w:eastAsia="zh-CN"/>
        </w:rPr>
        <w:t>土壤</w:t>
      </w:r>
      <w:r>
        <w:rPr>
          <w:rFonts w:hint="default" w:ascii="Times New Roman" w:hAnsi="Times New Roman" w:cs="Times New Roman"/>
          <w:color w:val="auto"/>
          <w:sz w:val="28"/>
          <w:szCs w:val="28"/>
          <w:shd w:val="clear" w:color="auto" w:fill="FFFFFF"/>
        </w:rPr>
        <w:t>层，厚30-80m不等，水质良好，潜水补给来源有</w:t>
      </w:r>
      <w:r>
        <w:rPr>
          <w:rFonts w:hint="eastAsia" w:ascii="Times New Roman" w:hAnsi="Times New Roman" w:cs="Times New Roman"/>
          <w:color w:val="auto"/>
          <w:sz w:val="28"/>
          <w:szCs w:val="28"/>
          <w:shd w:val="clear" w:color="auto" w:fill="FFFFFF"/>
          <w:lang w:val="en-US" w:eastAsia="zh-CN"/>
        </w:rPr>
        <w:t>大</w:t>
      </w:r>
      <w:r>
        <w:rPr>
          <w:rFonts w:hint="default" w:ascii="Times New Roman" w:hAnsi="Times New Roman" w:cs="Times New Roman"/>
          <w:color w:val="auto"/>
          <w:sz w:val="28"/>
          <w:szCs w:val="28"/>
          <w:shd w:val="clear" w:color="auto" w:fill="FFFFFF"/>
        </w:rPr>
        <w:t>气降水入渗、河水渗漏、灌溉水入渗、渠道与水库水入渗、承压水的顶托补给、</w:t>
      </w:r>
      <w:r>
        <w:rPr>
          <w:rFonts w:hint="eastAsia" w:ascii="Times New Roman" w:hAnsi="Times New Roman" w:cs="Times New Roman"/>
          <w:color w:val="auto"/>
          <w:sz w:val="28"/>
          <w:szCs w:val="28"/>
          <w:shd w:val="clear" w:color="auto" w:fill="FFFFFF"/>
          <w:lang w:val="en-US" w:eastAsia="zh-CN"/>
        </w:rPr>
        <w:t>基岩裂隙</w:t>
      </w:r>
      <w:r>
        <w:rPr>
          <w:rFonts w:hint="default" w:ascii="Times New Roman" w:hAnsi="Times New Roman" w:cs="Times New Roman"/>
          <w:color w:val="auto"/>
          <w:sz w:val="28"/>
          <w:szCs w:val="28"/>
          <w:shd w:val="clear" w:color="auto" w:fill="FFFFFF"/>
        </w:rPr>
        <w:t>水的侧向补给等。径流方向为由东南流向西北，在渭河漫滩区转向东北。潜水的</w:t>
      </w:r>
      <w:r>
        <w:rPr>
          <w:rFonts w:hint="eastAsia" w:ascii="Times New Roman" w:hAnsi="Times New Roman" w:cs="Times New Roman"/>
          <w:color w:val="auto"/>
          <w:sz w:val="28"/>
          <w:szCs w:val="28"/>
          <w:shd w:val="clear" w:color="auto" w:fill="FFFFFF"/>
          <w:lang w:val="en-US" w:eastAsia="zh-CN"/>
        </w:rPr>
        <w:t>排泄</w:t>
      </w:r>
      <w:r>
        <w:rPr>
          <w:rFonts w:hint="default" w:ascii="Times New Roman" w:hAnsi="Times New Roman" w:cs="Times New Roman"/>
          <w:color w:val="auto"/>
          <w:sz w:val="28"/>
          <w:szCs w:val="28"/>
          <w:shd w:val="clear" w:color="auto" w:fill="FFFFFF"/>
        </w:rPr>
        <w:t>方式主要有人工开采、向承压含水层越流、向河流排泄和局部蒸发等。灞河地下水</w:t>
      </w:r>
      <w:r>
        <w:rPr>
          <w:rFonts w:hint="eastAsia" w:ascii="Times New Roman" w:hAnsi="Times New Roman" w:cs="Times New Roman"/>
          <w:color w:val="auto"/>
          <w:sz w:val="28"/>
          <w:szCs w:val="28"/>
          <w:shd w:val="clear" w:color="auto" w:fill="FFFFFF"/>
          <w:lang w:val="en-US" w:eastAsia="zh-CN"/>
        </w:rPr>
        <w:t>水源地</w:t>
      </w:r>
      <w:r>
        <w:rPr>
          <w:rFonts w:hint="default" w:ascii="Times New Roman" w:hAnsi="Times New Roman" w:cs="Times New Roman"/>
          <w:color w:val="auto"/>
          <w:sz w:val="28"/>
          <w:szCs w:val="28"/>
          <w:shd w:val="clear" w:color="auto" w:fill="FFFFFF"/>
        </w:rPr>
        <w:t>由于长期过量开采，潜水位持续下降，形成一定范围的降落漏斗。</w:t>
      </w:r>
    </w:p>
    <w:p w14:paraId="31366723">
      <w:pPr>
        <w:spacing w:line="360" w:lineRule="auto"/>
        <w:ind w:firstLine="560" w:firstLineChars="200"/>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②承压水</w:t>
      </w:r>
    </w:p>
    <w:p w14:paraId="26FFC976">
      <w:pPr>
        <w:spacing w:line="360" w:lineRule="auto"/>
        <w:ind w:firstLine="560" w:firstLineChars="200"/>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承压水类型分为松散岩类孔隙水、碎屑岩类裂隙孔隙水、基岩裂隙水三种。松散岩类孔隙水分布于渭河、灞河、产河沿岸，为较强富水区（单井涌水量1000-3000</w:t>
      </w:r>
      <w:r>
        <w:rPr>
          <w:rFonts w:hint="eastAsia" w:ascii="Times New Roman" w:hAnsi="Times New Roman" w:cs="Times New Roman"/>
          <w:color w:val="auto"/>
          <w:sz w:val="28"/>
          <w:szCs w:val="28"/>
          <w:shd w:val="clear" w:color="auto" w:fill="FFFFFF"/>
          <w:lang w:val="en-US" w:eastAsia="zh-CN"/>
        </w:rPr>
        <w:t>m</w:t>
      </w:r>
      <w:r>
        <w:rPr>
          <w:rFonts w:hint="eastAsia" w:ascii="Times New Roman" w:hAnsi="Times New Roman" w:cs="Times New Roman"/>
          <w:color w:val="auto"/>
          <w:sz w:val="28"/>
          <w:szCs w:val="28"/>
          <w:shd w:val="clear" w:color="auto" w:fill="FFFFFF"/>
          <w:vertAlign w:val="superscript"/>
          <w:lang w:val="en-US" w:eastAsia="zh-CN"/>
        </w:rPr>
        <w:t>3</w:t>
      </w:r>
      <w:r>
        <w:rPr>
          <w:rFonts w:hint="eastAsia" w:ascii="Times New Roman" w:hAnsi="Times New Roman" w:cs="Times New Roman"/>
          <w:color w:val="auto"/>
          <w:sz w:val="28"/>
          <w:szCs w:val="28"/>
          <w:shd w:val="clear" w:color="auto" w:fill="FFFFFF"/>
          <w:lang w:val="en-US" w:eastAsia="zh-CN"/>
        </w:rPr>
        <w:t>/d</w:t>
      </w:r>
      <w:r>
        <w:rPr>
          <w:rFonts w:hint="default" w:ascii="Times New Roman" w:hAnsi="Times New Roman" w:cs="Times New Roman"/>
          <w:color w:val="auto"/>
          <w:sz w:val="28"/>
          <w:szCs w:val="28"/>
          <w:shd w:val="clear" w:color="auto" w:fill="FFFFFF"/>
        </w:rPr>
        <w:t>)浅层承压水，含水层为砂砾卵石，厚30-70m，承压水位埋深4-45m，渗透系数10-20m</w:t>
      </w:r>
      <w:r>
        <w:rPr>
          <w:rFonts w:hint="eastAsia" w:ascii="Times New Roman" w:hAnsi="Times New Roman" w:cs="Times New Roman"/>
          <w:color w:val="auto"/>
          <w:sz w:val="28"/>
          <w:szCs w:val="28"/>
          <w:shd w:val="clear" w:color="auto" w:fill="FFFFFF"/>
          <w:lang w:val="en-US" w:eastAsia="zh-CN"/>
        </w:rPr>
        <w:t>/</w:t>
      </w:r>
      <w:r>
        <w:rPr>
          <w:rFonts w:hint="default" w:ascii="Times New Roman" w:hAnsi="Times New Roman" w:cs="Times New Roman"/>
          <w:color w:val="auto"/>
          <w:sz w:val="28"/>
          <w:szCs w:val="28"/>
          <w:shd w:val="clear" w:color="auto" w:fill="FFFFFF"/>
        </w:rPr>
        <w:t>d</w:t>
      </w:r>
      <w:r>
        <w:rPr>
          <w:rFonts w:hint="eastAsia" w:ascii="Times New Roman" w:hAnsi="Times New Roman" w:cs="Times New Roman"/>
          <w:color w:val="auto"/>
          <w:sz w:val="28"/>
          <w:szCs w:val="28"/>
          <w:shd w:val="clear" w:color="auto" w:fill="FFFFFF"/>
          <w:lang w:eastAsia="zh-CN"/>
        </w:rPr>
        <w:t>；</w:t>
      </w:r>
      <w:r>
        <w:rPr>
          <w:rFonts w:hint="default" w:ascii="Times New Roman" w:hAnsi="Times New Roman" w:cs="Times New Roman"/>
          <w:color w:val="auto"/>
          <w:sz w:val="28"/>
          <w:szCs w:val="28"/>
          <w:shd w:val="clear" w:color="auto" w:fill="FFFFFF"/>
        </w:rPr>
        <w:t>深层承压水含水岩组砂、砂砾石与粉质粘土互层组成，厚30-100m</w:t>
      </w:r>
      <w:r>
        <w:rPr>
          <w:rFonts w:hint="eastAsia" w:ascii="Times New Roman" w:hAnsi="Times New Roman" w:cs="Times New Roman"/>
          <w:color w:val="auto"/>
          <w:sz w:val="28"/>
          <w:szCs w:val="28"/>
          <w:shd w:val="clear" w:color="auto" w:fill="FFFFFF"/>
          <w:lang w:eastAsia="zh-CN"/>
        </w:rPr>
        <w:t>；</w:t>
      </w:r>
      <w:r>
        <w:rPr>
          <w:rFonts w:hint="default" w:ascii="Times New Roman" w:hAnsi="Times New Roman" w:cs="Times New Roman"/>
          <w:color w:val="auto"/>
          <w:sz w:val="28"/>
          <w:szCs w:val="28"/>
          <w:shd w:val="clear" w:color="auto" w:fill="FFFFFF"/>
        </w:rPr>
        <w:t>碎屑岩类裂隙孔隐水分布于狄寨塬，主要为极弱富水区（单井涌水量小于100</w:t>
      </w:r>
      <w:r>
        <w:rPr>
          <w:rFonts w:hint="eastAsia" w:ascii="Times New Roman" w:hAnsi="Times New Roman" w:cs="Times New Roman"/>
          <w:color w:val="auto"/>
          <w:sz w:val="28"/>
          <w:szCs w:val="28"/>
          <w:shd w:val="clear" w:color="auto" w:fill="FFFFFF"/>
          <w:lang w:val="en-US" w:eastAsia="zh-CN"/>
        </w:rPr>
        <w:t>m</w:t>
      </w:r>
      <w:r>
        <w:rPr>
          <w:rFonts w:hint="eastAsia" w:ascii="Times New Roman" w:hAnsi="Times New Roman" w:cs="Times New Roman"/>
          <w:color w:val="auto"/>
          <w:sz w:val="28"/>
          <w:szCs w:val="28"/>
          <w:shd w:val="clear" w:color="auto" w:fill="FFFFFF"/>
          <w:vertAlign w:val="superscript"/>
          <w:lang w:val="en-US" w:eastAsia="zh-CN"/>
        </w:rPr>
        <w:t>3</w:t>
      </w:r>
      <w:r>
        <w:rPr>
          <w:rFonts w:hint="eastAsia" w:ascii="Times New Roman" w:hAnsi="Times New Roman" w:cs="Times New Roman"/>
          <w:color w:val="auto"/>
          <w:sz w:val="28"/>
          <w:szCs w:val="28"/>
          <w:shd w:val="clear" w:color="auto" w:fill="FFFFFF"/>
          <w:lang w:val="en-US" w:eastAsia="zh-CN"/>
        </w:rPr>
        <w:t>/d</w:t>
      </w:r>
      <w:r>
        <w:rPr>
          <w:rFonts w:hint="default" w:ascii="Times New Roman" w:hAnsi="Times New Roman" w:cs="Times New Roman"/>
          <w:color w:val="auto"/>
          <w:sz w:val="28"/>
          <w:szCs w:val="28"/>
          <w:shd w:val="clear" w:color="auto" w:fill="FFFFFF"/>
        </w:rPr>
        <w:t>)，含水岩组为第三系灞河组砂岩、砂质泥岩，含水层埋深在194m以下，含水层厚度8-25m，属灞河组的上段，颗粒较细，承压水水位埋深41-116m，渗透系数0.04-0.16m/d</w:t>
      </w:r>
      <w:r>
        <w:rPr>
          <w:rFonts w:hint="eastAsia" w:ascii="Times New Roman" w:hAnsi="Times New Roman" w:cs="Times New Roman"/>
          <w:color w:val="auto"/>
          <w:sz w:val="28"/>
          <w:szCs w:val="28"/>
          <w:shd w:val="clear" w:color="auto" w:fill="FFFFFF"/>
          <w:lang w:eastAsia="zh-CN"/>
        </w:rPr>
        <w:t>；</w:t>
      </w:r>
      <w:r>
        <w:rPr>
          <w:rFonts w:hint="default" w:ascii="Times New Roman" w:hAnsi="Times New Roman" w:cs="Times New Roman"/>
          <w:color w:val="auto"/>
          <w:sz w:val="28"/>
          <w:szCs w:val="28"/>
          <w:shd w:val="clear" w:color="auto" w:fill="FFFFFF"/>
        </w:rPr>
        <w:t>基岩裂隙水主要分布于洪庆山，含水岩组主要为太古界、下元古界变质岩及印支燕山期花岗岩等，富水性极不均一，泉流量10-250</w:t>
      </w:r>
      <w:r>
        <w:rPr>
          <w:rFonts w:hint="eastAsia" w:ascii="Times New Roman" w:hAnsi="Times New Roman" w:cs="Times New Roman"/>
          <w:color w:val="auto"/>
          <w:sz w:val="28"/>
          <w:szCs w:val="28"/>
          <w:shd w:val="clear" w:color="auto" w:fill="FFFFFF"/>
          <w:lang w:val="en-US" w:eastAsia="zh-CN"/>
        </w:rPr>
        <w:t>m</w:t>
      </w:r>
      <w:r>
        <w:rPr>
          <w:rFonts w:hint="eastAsia" w:ascii="Times New Roman" w:hAnsi="Times New Roman" w:cs="Times New Roman"/>
          <w:color w:val="auto"/>
          <w:sz w:val="28"/>
          <w:szCs w:val="28"/>
          <w:shd w:val="clear" w:color="auto" w:fill="FFFFFF"/>
          <w:vertAlign w:val="superscript"/>
          <w:lang w:val="en-US" w:eastAsia="zh-CN"/>
        </w:rPr>
        <w:t>3</w:t>
      </w:r>
      <w:r>
        <w:rPr>
          <w:rFonts w:hint="eastAsia" w:ascii="Times New Roman" w:hAnsi="Times New Roman" w:cs="Times New Roman"/>
          <w:color w:val="auto"/>
          <w:sz w:val="28"/>
          <w:szCs w:val="28"/>
          <w:shd w:val="clear" w:color="auto" w:fill="FFFFFF"/>
          <w:lang w:val="en-US" w:eastAsia="zh-CN"/>
        </w:rPr>
        <w:t>/d</w:t>
      </w:r>
      <w:r>
        <w:rPr>
          <w:rFonts w:hint="default" w:ascii="Times New Roman" w:hAnsi="Times New Roman" w:cs="Times New Roman"/>
          <w:color w:val="auto"/>
          <w:sz w:val="28"/>
          <w:szCs w:val="28"/>
          <w:shd w:val="clear" w:color="auto" w:fill="FFFFFF"/>
        </w:rPr>
        <w:t>，水质良好。</w:t>
      </w:r>
    </w:p>
    <w:p w14:paraId="1D5528B4">
      <w:pPr>
        <w:pStyle w:val="4"/>
        <w:outlineLvl w:val="1"/>
        <w:rPr>
          <w:rFonts w:hint="default" w:ascii="Times New Roman" w:hAnsi="Times New Roman" w:cs="Times New Roman"/>
          <w:b/>
          <w:bCs/>
          <w:color w:val="auto"/>
          <w:highlight w:val="none"/>
          <w:lang w:val="en-US" w:eastAsia="zh-CN"/>
        </w:rPr>
      </w:pPr>
      <w:bookmarkStart w:id="33" w:name="_Toc15463"/>
      <w:r>
        <w:rPr>
          <w:rFonts w:hint="eastAsia" w:ascii="Times New Roman" w:hAnsi="Times New Roman" w:cs="Times New Roman"/>
          <w:b/>
          <w:bCs/>
          <w:color w:val="auto"/>
          <w:highlight w:val="none"/>
          <w:lang w:val="en-US" w:eastAsia="zh-CN"/>
        </w:rPr>
        <w:t>2.2饮用水源地所在区域或流域的社会经济状况</w:t>
      </w:r>
      <w:bookmarkEnd w:id="33"/>
    </w:p>
    <w:p w14:paraId="43886C9F">
      <w:pPr>
        <w:spacing w:line="360" w:lineRule="auto"/>
        <w:ind w:firstLine="560" w:firstLineChars="200"/>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2021年，灞桥区坚持以习近平新时代中国特色社会主义思想为指导，贯通落实习近平总书记三次来陕考察重要讲话重要指示精神，围绕“品质灞桥·最美城区”发展目标，聚焦“两园两带五片区”板块建设，战疫情、谋发展、优生态、惠民生、保安全，开创了经济社会发展新局面。全区地区生产总值突破600亿元，完成606.85亿元，同比增长7.7%，排名全市区县第3；一般公共预算收入完成20.12亿元，税收占比87.18%;服务业增加值同比增长8.7%；规模以上工业增加值同比增长5.9%，社会消费品零售总额同比增长3.2%；固定资产投资同比增长13.5%；城乡居民人均可支配收入分别达到45389元和21385元，增长7.6％和10.5％。</w:t>
      </w:r>
    </w:p>
    <w:p w14:paraId="0509CF79">
      <w:pPr>
        <w:pStyle w:val="4"/>
        <w:outlineLvl w:val="1"/>
        <w:rPr>
          <w:rFonts w:hint="default" w:ascii="Times New Roman" w:hAnsi="Times New Roman" w:cs="Times New Roman"/>
          <w:color w:val="auto"/>
          <w:lang w:val="en-US" w:eastAsia="zh-CN"/>
        </w:rPr>
      </w:pPr>
      <w:bookmarkStart w:id="34" w:name="_Toc11880"/>
      <w:bookmarkStart w:id="35" w:name="_Toc462134856"/>
      <w:bookmarkStart w:id="36" w:name="_Toc456352046"/>
      <w:bookmarkStart w:id="37" w:name="_Toc456339262"/>
      <w:bookmarkStart w:id="38" w:name="_Toc456351920"/>
      <w:bookmarkStart w:id="39" w:name="_Toc463685515"/>
      <w:r>
        <w:rPr>
          <w:rFonts w:hint="default" w:ascii="Times New Roman" w:hAnsi="Times New Roman" w:cs="Times New Roman"/>
          <w:b/>
          <w:bCs/>
          <w:color w:val="auto"/>
          <w:highlight w:val="none"/>
        </w:rPr>
        <w:t>2.3饮用水水源</w:t>
      </w:r>
      <w:r>
        <w:rPr>
          <w:rFonts w:hint="eastAsia" w:cs="Times New Roman"/>
          <w:b/>
          <w:bCs/>
          <w:color w:val="auto"/>
          <w:highlight w:val="none"/>
          <w:lang w:val="en-US" w:eastAsia="zh-CN"/>
        </w:rPr>
        <w:t>地周边城乡土地利用现状及规划情况</w:t>
      </w:r>
      <w:bookmarkEnd w:id="34"/>
    </w:p>
    <w:p w14:paraId="3287F066">
      <w:pPr>
        <w:spacing w:line="360" w:lineRule="auto"/>
        <w:ind w:firstLine="560" w:firstLineChars="200"/>
        <w:rPr>
          <w:rFonts w:hint="default" w:ascii="Times New Roman" w:hAnsi="Times New Roman" w:eastAsia="宋体" w:cs="Times New Roman"/>
          <w:color w:val="auto"/>
          <w:sz w:val="28"/>
          <w:szCs w:val="28"/>
          <w:shd w:val="clear" w:color="auto" w:fill="FFFFFF"/>
          <w:lang w:val="en-US" w:eastAsia="zh-CN"/>
        </w:rPr>
      </w:pPr>
      <w:r>
        <w:rPr>
          <w:rFonts w:hint="eastAsia" w:ascii="Times New Roman" w:hAnsi="Times New Roman" w:cs="Times New Roman"/>
          <w:color w:val="auto"/>
          <w:sz w:val="28"/>
          <w:szCs w:val="28"/>
          <w:lang w:val="en-US" w:eastAsia="zh-CN"/>
        </w:rPr>
        <w:t>本次水源地划分2眼井均位于西安市灞桥区狄寨街道狄寨村，参照《土地利用现状分类》（GB/T21010-2017）并结合现场勘查，</w:t>
      </w:r>
      <w:r>
        <w:rPr>
          <w:rFonts w:hint="default" w:ascii="Times New Roman" w:hAnsi="Times New Roman" w:cs="Times New Roman"/>
          <w:color w:val="auto"/>
          <w:sz w:val="28"/>
          <w:szCs w:val="28"/>
          <w:shd w:val="clear" w:color="auto" w:fill="FFFFFF"/>
        </w:rPr>
        <w:t>饮用</w:t>
      </w:r>
      <w:r>
        <w:rPr>
          <w:rFonts w:hint="eastAsia" w:ascii="Times New Roman" w:hAnsi="Times New Roman" w:cs="Times New Roman"/>
          <w:color w:val="auto"/>
          <w:sz w:val="28"/>
          <w:szCs w:val="28"/>
          <w:shd w:val="clear" w:color="auto" w:fill="FFFFFF"/>
          <w:lang w:val="en-US" w:eastAsia="zh-CN"/>
        </w:rPr>
        <w:t>水</w:t>
      </w:r>
      <w:r>
        <w:rPr>
          <w:rFonts w:hint="default" w:ascii="Times New Roman" w:hAnsi="Times New Roman" w:cs="Times New Roman"/>
          <w:color w:val="auto"/>
          <w:sz w:val="28"/>
          <w:szCs w:val="28"/>
          <w:shd w:val="clear" w:color="auto" w:fill="FFFFFF"/>
        </w:rPr>
        <w:t>水源地</w:t>
      </w:r>
      <w:r>
        <w:rPr>
          <w:rFonts w:hint="eastAsia" w:ascii="Times New Roman" w:hAnsi="Times New Roman" w:cs="Times New Roman"/>
          <w:color w:val="auto"/>
          <w:sz w:val="28"/>
          <w:szCs w:val="28"/>
          <w:shd w:val="clear" w:color="auto" w:fill="FFFFFF"/>
          <w:lang w:val="en-US" w:eastAsia="zh-CN"/>
        </w:rPr>
        <w:t>1#井、2#井占地范围及周边土地利用主要为农用地及建设用地（村庄、建制镇等）</w:t>
      </w:r>
      <w:r>
        <w:rPr>
          <w:rFonts w:hint="default"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用地符合西安市灞桥区土地利用规划要求。</w:t>
      </w:r>
    </w:p>
    <w:p w14:paraId="01038A84">
      <w:pPr>
        <w:pStyle w:val="4"/>
        <w:outlineLvl w:val="1"/>
        <w:rPr>
          <w:rFonts w:hint="eastAsia" w:cs="Times New Roman"/>
          <w:b/>
          <w:bCs/>
          <w:color w:val="auto"/>
          <w:highlight w:val="none"/>
          <w:lang w:val="en-US" w:eastAsia="zh-CN"/>
        </w:rPr>
      </w:pPr>
      <w:bookmarkStart w:id="40" w:name="_Toc32728"/>
      <w:r>
        <w:rPr>
          <w:rFonts w:hint="default" w:ascii="Times New Roman" w:hAnsi="Times New Roman" w:cs="Times New Roman"/>
          <w:b/>
          <w:bCs/>
          <w:color w:val="auto"/>
          <w:highlight w:val="none"/>
        </w:rPr>
        <w:t>2.</w:t>
      </w:r>
      <w:r>
        <w:rPr>
          <w:rFonts w:hint="eastAsia" w:cs="Times New Roman"/>
          <w:b/>
          <w:bCs/>
          <w:color w:val="auto"/>
          <w:highlight w:val="none"/>
          <w:lang w:val="en-US" w:eastAsia="zh-CN"/>
        </w:rPr>
        <w:t>4饮用水水源地规划、重要生态功能区划等情况</w:t>
      </w:r>
      <w:bookmarkEnd w:id="40"/>
    </w:p>
    <w:p w14:paraId="67D04439">
      <w:pPr>
        <w:pStyle w:val="5"/>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2.4.1饮用水水源地规划</w:t>
      </w:r>
    </w:p>
    <w:p w14:paraId="12270B0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《陕西省“十四五”水利发展规划》、《西安市“十四五”水利发展规划》</w:t>
      </w:r>
      <w:r>
        <w:rPr>
          <w:rFonts w:hint="eastAsia" w:ascii="Times New Roman" w:hAnsi="Times New Roman" w:cs="Times New Roman"/>
          <w:color w:val="auto"/>
          <w:kern w:val="2"/>
          <w:sz w:val="28"/>
          <w:szCs w:val="28"/>
          <w:lang w:val="en-US" w:eastAsia="zh-CN" w:bidi="ar"/>
        </w:rPr>
        <w:t>中对饮用水水源的规划情况见表2.4-1.</w:t>
      </w:r>
    </w:p>
    <w:p w14:paraId="0C9D0E86">
      <w:pPr>
        <w:pStyle w:val="10"/>
        <w:ind w:left="0" w:leftChars="0" w:firstLine="0" w:firstLineChars="0"/>
        <w:jc w:val="center"/>
        <w:rPr>
          <w:rFonts w:hint="eastAsia" w:ascii="Times New Roman" w:hAnsi="Times New Roman" w:cs="Times New Roman"/>
          <w:color w:val="auto"/>
          <w:kern w:val="2"/>
          <w:sz w:val="28"/>
          <w:szCs w:val="28"/>
          <w:lang w:val="en-US" w:eastAsia="zh-CN" w:bidi="ar"/>
        </w:rPr>
      </w:pPr>
      <w:r>
        <w:rPr>
          <w:rFonts w:hint="eastAsia" w:ascii="Times New Roman" w:hAnsi="Times New Roman" w:cs="Times New Roman"/>
          <w:b/>
          <w:bCs/>
          <w:color w:val="auto"/>
          <w:kern w:val="2"/>
          <w:sz w:val="24"/>
          <w:szCs w:val="24"/>
          <w:lang w:val="en-US" w:eastAsia="zh-CN" w:bidi="ar"/>
        </w:rPr>
        <w:t>表2.4-1  饮用水水源规划情况表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5918"/>
      </w:tblGrid>
      <w:tr w14:paraId="4C91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dxa"/>
            <w:vAlign w:val="center"/>
          </w:tcPr>
          <w:p w14:paraId="11F37602">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规划名称</w:t>
            </w:r>
          </w:p>
        </w:tc>
        <w:tc>
          <w:tcPr>
            <w:tcW w:w="5918" w:type="dxa"/>
            <w:vAlign w:val="center"/>
          </w:tcPr>
          <w:p w14:paraId="5FD8F289">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规划要求</w:t>
            </w:r>
          </w:p>
        </w:tc>
      </w:tr>
      <w:tr w14:paraId="0580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dxa"/>
            <w:vAlign w:val="center"/>
          </w:tcPr>
          <w:p w14:paraId="6EEF30C9">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《陕西省“十四五”水利发展规划》</w:t>
            </w:r>
          </w:p>
        </w:tc>
        <w:tc>
          <w:tcPr>
            <w:tcW w:w="5918" w:type="dxa"/>
            <w:vAlign w:val="top"/>
          </w:tcPr>
          <w:p w14:paraId="5A1B47A5">
            <w:pPr>
              <w:keepNext w:val="0"/>
              <w:keepLines w:val="0"/>
              <w:numPr>
                <w:ilvl w:val="0"/>
                <w:numId w:val="1"/>
              </w:numPr>
              <w:suppressLineNumbers w:val="0"/>
              <w:bidi w:val="0"/>
              <w:spacing w:before="0" w:beforeAutospacing="0" w:after="0" w:afterAutospacing="0"/>
              <w:ind w:left="0" w:right="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加快完善五大支撑体系</w:t>
            </w:r>
          </w:p>
          <w:p w14:paraId="77278C6A">
            <w:pPr>
              <w:keepNext w:val="0"/>
              <w:keepLines w:val="0"/>
              <w:numPr>
                <w:ilvl w:val="0"/>
                <w:numId w:val="0"/>
              </w:numPr>
              <w:suppressLineNumbers w:val="0"/>
              <w:bidi w:val="0"/>
              <w:spacing w:before="0" w:beforeAutospacing="0" w:after="0" w:afterAutospacing="0"/>
              <w:ind w:left="0" w:right="0"/>
              <w:jc w:val="both"/>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（二）江河湖库监管支撑体系</w:t>
            </w:r>
          </w:p>
          <w:p w14:paraId="3A20E3BA">
            <w:pPr>
              <w:keepNext w:val="0"/>
              <w:keepLines w:val="0"/>
              <w:suppressLineNumbers w:val="0"/>
              <w:bidi w:val="0"/>
              <w:spacing w:before="0" w:beforeAutospacing="0" w:after="0" w:afterAutospacing="0"/>
              <w:ind w:left="0" w:right="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——强化江河源头和饮用水水源地保护。加强主要江河源头、重要水源涵养地的水环境保护，划定禁止开发范围。</w:t>
            </w:r>
            <w:r>
              <w:rPr>
                <w:rFonts w:hint="eastAsia" w:ascii="宋体" w:hAnsi="宋体" w:eastAsia="宋体" w:cs="宋体"/>
                <w:b/>
                <w:bCs/>
                <w:color w:val="auto"/>
                <w:sz w:val="21"/>
                <w:szCs w:val="21"/>
                <w:vertAlign w:val="baseline"/>
                <w:lang w:val="en-US" w:eastAsia="zh-CN"/>
              </w:rPr>
              <w:t>依法划定和保护饮用水水源保护区，</w:t>
            </w:r>
            <w:r>
              <w:rPr>
                <w:rFonts w:hint="eastAsia" w:ascii="宋体" w:hAnsi="宋体" w:eastAsia="宋体" w:cs="宋体"/>
                <w:color w:val="auto"/>
                <w:sz w:val="21"/>
                <w:szCs w:val="21"/>
                <w:vertAlign w:val="baseline"/>
                <w:lang w:val="en-US" w:eastAsia="zh-CN"/>
              </w:rPr>
              <w:t>加强水土流失和面源污染防治，严格管控入河排污口，严格河道采砂管理，维系江河湖库健康生命。</w:t>
            </w:r>
          </w:p>
          <w:p w14:paraId="18BF28FA">
            <w:pPr>
              <w:keepNext w:val="0"/>
              <w:keepLines w:val="0"/>
              <w:suppressLineNumbers w:val="0"/>
              <w:bidi w:val="0"/>
              <w:spacing w:before="0" w:beforeAutospacing="0" w:after="0" w:afterAutospacing="0"/>
              <w:ind w:left="0" w:right="0"/>
              <w:jc w:val="both"/>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（三）水利工程管控支撑体系</w:t>
            </w:r>
          </w:p>
          <w:p w14:paraId="73840F66">
            <w:pPr>
              <w:keepNext w:val="0"/>
              <w:keepLines w:val="0"/>
              <w:suppressLineNumbers w:val="0"/>
              <w:bidi w:val="0"/>
              <w:spacing w:before="0" w:beforeAutospacing="0" w:after="0" w:afterAutospacing="0"/>
              <w:ind w:left="0" w:right="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——水利工程运行管理。积极推进水库大坝、水闸、堤防安全</w:t>
            </w:r>
          </w:p>
          <w:p w14:paraId="03EDFF82">
            <w:pPr>
              <w:keepNext w:val="0"/>
              <w:keepLines w:val="0"/>
              <w:suppressLineNumbers w:val="0"/>
              <w:bidi w:val="0"/>
              <w:spacing w:before="0" w:beforeAutospacing="0" w:after="0" w:afterAutospacing="0"/>
              <w:ind w:left="0" w:right="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鉴定，全力做好病害治理与除险加固，确保各类防汛设施安全运行。</w:t>
            </w:r>
          </w:p>
          <w:p w14:paraId="3AB2E43D">
            <w:pPr>
              <w:keepNext w:val="0"/>
              <w:keepLines w:val="0"/>
              <w:suppressLineNumbers w:val="0"/>
              <w:bidi w:val="0"/>
              <w:spacing w:before="0" w:beforeAutospacing="0" w:after="0" w:afterAutospacing="0"/>
              <w:ind w:left="0" w:right="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深入研究灌区存在的各类突出问题，进一步划清事权，落实工程运行维护主体、责任和经费，保障灌溉设施良性运行，发挥灌溉效益。</w:t>
            </w:r>
            <w:r>
              <w:rPr>
                <w:rFonts w:hint="eastAsia" w:ascii="宋体" w:hAnsi="宋体" w:eastAsia="宋体" w:cs="宋体"/>
                <w:b/>
                <w:bCs/>
                <w:color w:val="auto"/>
                <w:sz w:val="21"/>
                <w:szCs w:val="21"/>
                <w:vertAlign w:val="baseline"/>
                <w:lang w:val="en-US" w:eastAsia="zh-CN"/>
              </w:rPr>
              <w:t>城镇供水工程要以实现良性运行为目标，抓好城镇供水工程管护，加快应急备用水源工程建设，完善应急预案，切实保障城镇供水安全。</w:t>
            </w:r>
            <w:r>
              <w:rPr>
                <w:rFonts w:hint="eastAsia" w:ascii="宋体" w:hAnsi="宋体" w:eastAsia="宋体" w:cs="宋体"/>
                <w:color w:val="auto"/>
                <w:sz w:val="21"/>
                <w:szCs w:val="21"/>
                <w:vertAlign w:val="baseline"/>
                <w:lang w:val="en-US" w:eastAsia="zh-CN"/>
              </w:rPr>
              <w:t>农村饮水工程抓紧建立市县镇村四级监督机制，落实政府主体责任、行业监管责任和供水单位管理责任，全面落实水费收缴制度，加大各级维修养护经费投入，保障工程设施正常运行与农村饮水安全。建立农村小水电生态监控监管平台</w:t>
            </w:r>
          </w:p>
        </w:tc>
      </w:tr>
      <w:tr w14:paraId="6111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dxa"/>
            <w:vAlign w:val="center"/>
          </w:tcPr>
          <w:p w14:paraId="59318E4F">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《西安市“十四五”水利发展规划》</w:t>
            </w:r>
          </w:p>
        </w:tc>
        <w:tc>
          <w:tcPr>
            <w:tcW w:w="5918" w:type="dxa"/>
            <w:vAlign w:val="center"/>
          </w:tcPr>
          <w:p w14:paraId="6A42CA88">
            <w:pPr>
              <w:keepNext w:val="0"/>
              <w:keepLines w:val="0"/>
              <w:numPr>
                <w:ilvl w:val="0"/>
                <w:numId w:val="2"/>
              </w:numPr>
              <w:suppressLineNumbers w:val="0"/>
              <w:bidi w:val="0"/>
              <w:spacing w:before="0" w:beforeAutospacing="0" w:after="0" w:afterAutospacing="0"/>
              <w:ind w:left="0" w:right="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水空间优化配置</w:t>
            </w:r>
          </w:p>
          <w:p w14:paraId="490F17E8">
            <w:pPr>
              <w:keepNext w:val="0"/>
              <w:keepLines w:val="0"/>
              <w:numPr>
                <w:ilvl w:val="0"/>
                <w:numId w:val="3"/>
              </w:numPr>
              <w:suppressLineNumbers w:val="0"/>
              <w:bidi w:val="0"/>
              <w:spacing w:before="0" w:beforeAutospacing="0" w:after="0" w:afterAutospacing="0"/>
              <w:ind w:left="0" w:right="0"/>
              <w:jc w:val="both"/>
              <w:rPr>
                <w:rFonts w:hint="default" w:ascii="宋体" w:hAnsi="宋体" w:eastAsia="宋体" w:cs="宋体"/>
                <w:color w:val="auto"/>
                <w:sz w:val="21"/>
                <w:szCs w:val="21"/>
                <w:vertAlign w:val="baseline"/>
                <w:lang w:val="en-US" w:eastAsia="zh-CN"/>
              </w:rPr>
            </w:pPr>
            <w:r>
              <w:rPr>
                <w:rFonts w:hint="default" w:ascii="宋体" w:hAnsi="宋体" w:eastAsia="宋体" w:cs="宋体"/>
                <w:color w:val="auto"/>
                <w:sz w:val="21"/>
                <w:szCs w:val="21"/>
                <w:vertAlign w:val="baseline"/>
                <w:lang w:val="en-US" w:eastAsia="zh-CN"/>
              </w:rPr>
              <w:t>城镇供水设施。</w:t>
            </w:r>
            <w:r>
              <w:rPr>
                <w:rFonts w:hint="default" w:ascii="宋体" w:hAnsi="宋体" w:eastAsia="宋体" w:cs="宋体"/>
                <w:b/>
                <w:bCs/>
                <w:color w:val="auto"/>
                <w:sz w:val="21"/>
                <w:szCs w:val="21"/>
                <w:vertAlign w:val="baseline"/>
                <w:lang w:val="en-US" w:eastAsia="zh-CN"/>
              </w:rPr>
              <w:t>完善水厂和管网配套设施，打通渭河、灞河天然地形地势分割，完善互联互通供水通道。</w:t>
            </w:r>
            <w:r>
              <w:rPr>
                <w:rFonts w:hint="default" w:ascii="宋体" w:hAnsi="宋体" w:eastAsia="宋体" w:cs="宋体"/>
                <w:color w:val="auto"/>
                <w:sz w:val="21"/>
                <w:szCs w:val="21"/>
                <w:vertAlign w:val="baseline"/>
                <w:lang w:val="en-US" w:eastAsia="zh-CN"/>
              </w:rPr>
              <w:t>远期实现以引汉济渭、东庄水库和宝鸡峡水库为重要供水源，以区域地下水、应急供水作为备用水源，构建“资源优化、水质保证、运行可靠、监控有效、应急互备”的供水格局，形成多水源联合互调供水设施网络。重点实施灞河水厂一期、西安子午水厂一期、沣东水厂等29个水厂的新建、扩建、迁建、提标改造工作，新增原水输水、净水输水、配水管网351.1公里，建设8个泵站及配水厂，改善老化给水管道300公里。到2025年，新增城镇供水日供水能力189.3万吨。</w:t>
            </w:r>
          </w:p>
          <w:p w14:paraId="0DC5100F">
            <w:pPr>
              <w:keepNext w:val="0"/>
              <w:keepLines w:val="0"/>
              <w:numPr>
                <w:ilvl w:val="0"/>
                <w:numId w:val="0"/>
              </w:numPr>
              <w:suppressLineNumbers w:val="0"/>
              <w:bidi w:val="0"/>
              <w:spacing w:before="0" w:beforeAutospacing="0" w:after="0" w:afterAutospacing="0"/>
              <w:ind w:left="0" w:right="0"/>
              <w:jc w:val="both"/>
              <w:rPr>
                <w:rFonts w:hint="default" w:ascii="宋体" w:hAnsi="宋体" w:eastAsia="宋体" w:cs="宋体"/>
                <w:color w:val="auto"/>
                <w:sz w:val="21"/>
                <w:szCs w:val="21"/>
                <w:vertAlign w:val="baseline"/>
                <w:lang w:val="en-US" w:eastAsia="zh-CN"/>
              </w:rPr>
            </w:pPr>
            <w:r>
              <w:rPr>
                <w:rFonts w:hint="default" w:ascii="宋体" w:hAnsi="宋体" w:eastAsia="宋体" w:cs="宋体"/>
                <w:color w:val="auto"/>
                <w:sz w:val="21"/>
                <w:szCs w:val="21"/>
                <w:vertAlign w:val="baseline"/>
                <w:lang w:val="en-US" w:eastAsia="zh-CN"/>
              </w:rPr>
              <w:t>3.</w:t>
            </w:r>
            <w:r>
              <w:rPr>
                <w:rFonts w:hint="default" w:ascii="宋体" w:hAnsi="宋体" w:eastAsia="宋体" w:cs="宋体"/>
                <w:b/>
                <w:bCs/>
                <w:color w:val="auto"/>
                <w:sz w:val="21"/>
                <w:szCs w:val="21"/>
                <w:vertAlign w:val="baseline"/>
                <w:lang w:val="en-US" w:eastAsia="zh-CN"/>
              </w:rPr>
              <w:t>农村供水安全保障工程。加强农村供水基础设施建设，提高农村供水工程水质净化处理和消毒能力、农村集中供水率、农村自来水普及率，逐步建成以地表水为主要水源、地下水为补充的联村集中供水体系，推行规模化发展、标准化建设、市场化运作、专业化管理、受益户参与的集中供水模式，打造城乡一体的供水网络，逐步实现城乡供水一体化。</w:t>
            </w:r>
            <w:r>
              <w:rPr>
                <w:rFonts w:hint="default" w:ascii="宋体" w:hAnsi="宋体" w:eastAsia="宋体" w:cs="宋体"/>
                <w:color w:val="auto"/>
                <w:sz w:val="21"/>
                <w:szCs w:val="21"/>
                <w:vertAlign w:val="baseline"/>
                <w:lang w:val="en-US" w:eastAsia="zh-CN"/>
              </w:rPr>
              <w:t xml:space="preserve">“十四五”期间建设、改造农村供水安全保障工程306处，到2025年，农村集中供水人口比例达到95%，农村自来水普及率达到99.85%，农村集中供水率达到99.94%。  </w:t>
            </w:r>
          </w:p>
        </w:tc>
      </w:tr>
      <w:bookmarkEnd w:id="35"/>
      <w:bookmarkEnd w:id="36"/>
      <w:bookmarkEnd w:id="37"/>
      <w:bookmarkEnd w:id="38"/>
      <w:bookmarkEnd w:id="39"/>
    </w:tbl>
    <w:p w14:paraId="2F54966A">
      <w:pPr>
        <w:pStyle w:val="4"/>
        <w:outlineLvl w:val="1"/>
        <w:rPr>
          <w:rFonts w:hint="default" w:ascii="Times New Roman" w:hAnsi="Times New Roman" w:eastAsia="宋体" w:cs="Times New Roman"/>
          <w:b/>
          <w:bCs/>
          <w:color w:val="auto"/>
          <w:highlight w:val="none"/>
          <w:lang w:val="en-US" w:eastAsia="zh-CN"/>
        </w:rPr>
      </w:pPr>
      <w:bookmarkStart w:id="41" w:name="_Toc9182"/>
      <w:r>
        <w:rPr>
          <w:rFonts w:hint="default" w:ascii="Times New Roman" w:hAnsi="Times New Roman" w:cs="Times New Roman"/>
          <w:b/>
          <w:bCs/>
          <w:color w:val="auto"/>
          <w:highlight w:val="none"/>
        </w:rPr>
        <w:t>2.</w:t>
      </w: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饮用水水源</w:t>
      </w:r>
      <w:r>
        <w:rPr>
          <w:rFonts w:hint="default" w:ascii="Times New Roman" w:hAnsi="Times New Roman" w:cs="Times New Roman"/>
          <w:b/>
          <w:bCs/>
          <w:color w:val="auto"/>
          <w:highlight w:val="none"/>
          <w:lang w:val="en-US" w:eastAsia="zh-CN"/>
        </w:rPr>
        <w:t>地基础状况</w:t>
      </w:r>
      <w:bookmarkEnd w:id="41"/>
    </w:p>
    <w:p w14:paraId="6C65A123">
      <w:pPr>
        <w:pStyle w:val="5"/>
        <w:snapToGrid w:val="0"/>
        <w:spacing w:before="0" w:after="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5</w:t>
      </w:r>
      <w:r>
        <w:rPr>
          <w:rFonts w:hint="default" w:ascii="Times New Roman" w:hAnsi="Times New Roman" w:cs="Times New Roman"/>
          <w:color w:val="auto"/>
        </w:rPr>
        <w:t>.1</w:t>
      </w:r>
      <w:r>
        <w:rPr>
          <w:rFonts w:hint="eastAsia" w:ascii="Times New Roman" w:hAnsi="Times New Roman" w:cs="Times New Roman"/>
          <w:color w:val="auto"/>
          <w:lang w:val="en-US" w:eastAsia="zh-CN"/>
        </w:rPr>
        <w:t>水源地基础信息</w:t>
      </w:r>
    </w:p>
    <w:p w14:paraId="133F9548">
      <w:pPr>
        <w:snapToGrid w:val="0"/>
        <w:spacing w:line="360" w:lineRule="auto"/>
        <w:ind w:firstLine="560" w:firstLineChars="20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水源地名称：西安市灞桥区狄寨街道狄寨村水源地</w:t>
      </w:r>
    </w:p>
    <w:p w14:paraId="5F0B04C0">
      <w:pPr>
        <w:snapToGrid w:val="0"/>
        <w:spacing w:line="360" w:lineRule="auto"/>
        <w:ind w:firstLine="560" w:firstLineChars="200"/>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类型：</w:t>
      </w:r>
      <w:r>
        <w:rPr>
          <w:rFonts w:hint="default" w:ascii="Times New Roman" w:hAnsi="Times New Roman" w:cs="Times New Roman"/>
          <w:color w:val="auto"/>
          <w:sz w:val="28"/>
          <w:szCs w:val="28"/>
        </w:rPr>
        <w:t>含水介质类型属孔隙水，埋藏条件为承压水</w:t>
      </w:r>
      <w:r>
        <w:rPr>
          <w:rFonts w:hint="eastAsia"/>
          <w:color w:val="auto"/>
          <w:lang w:eastAsia="zh-CN"/>
        </w:rPr>
        <w:t>；</w:t>
      </w:r>
      <w:r>
        <w:rPr>
          <w:rFonts w:hint="eastAsia"/>
          <w:color w:val="auto"/>
          <w:sz w:val="28"/>
          <w:szCs w:val="28"/>
          <w:lang w:val="en-US" w:eastAsia="zh-CN"/>
        </w:rPr>
        <w:t>机井孔径均为600毫米，取水采用泵吸式</w:t>
      </w:r>
    </w:p>
    <w:p w14:paraId="59C3904F">
      <w:pPr>
        <w:snapToGrid w:val="0"/>
        <w:spacing w:line="360" w:lineRule="auto"/>
        <w:ind w:firstLine="560" w:firstLineChars="200"/>
        <w:rPr>
          <w:rFonts w:hint="eastAsia" w:ascii="Times New Roman" w:hAnsi="Times New Roman" w:cs="Times New Roman"/>
          <w:color w:val="auto"/>
          <w:kern w:val="0"/>
          <w:sz w:val="28"/>
          <w:szCs w:val="28"/>
          <w:highlight w:val="yellow"/>
          <w:lang w:val="en-US" w:eastAsia="zh-CN"/>
        </w:rPr>
      </w:pPr>
      <w:r>
        <w:rPr>
          <w:rFonts w:hint="default" w:ascii="Times New Roman" w:hAnsi="Times New Roman" w:cs="Times New Roman"/>
          <w:color w:val="auto"/>
          <w:sz w:val="28"/>
          <w:szCs w:val="28"/>
          <w:lang w:eastAsia="zh-CN"/>
        </w:rPr>
        <w:t>西安市</w:t>
      </w:r>
      <w:r>
        <w:rPr>
          <w:rFonts w:hint="default" w:ascii="Times New Roman" w:hAnsi="Times New Roman" w:cs="Times New Roman"/>
          <w:color w:val="auto"/>
          <w:sz w:val="28"/>
          <w:szCs w:val="28"/>
          <w:lang w:val="en-US" w:eastAsia="zh-CN"/>
        </w:rPr>
        <w:t>灞桥区狄寨街道狄寨村</w:t>
      </w:r>
      <w:r>
        <w:rPr>
          <w:rFonts w:hint="eastAsia" w:ascii="Times New Roman" w:hAnsi="Times New Roman" w:cs="Times New Roman"/>
          <w:color w:val="auto"/>
          <w:sz w:val="28"/>
          <w:szCs w:val="28"/>
          <w:lang w:val="en-US" w:eastAsia="zh-CN"/>
        </w:rPr>
        <w:t>水源地位于</w:t>
      </w:r>
      <w:r>
        <w:rPr>
          <w:rFonts w:hint="default" w:ascii="Times New Roman" w:hAnsi="Times New Roman" w:cs="Times New Roman"/>
          <w:color w:val="auto"/>
          <w:kern w:val="0"/>
          <w:sz w:val="28"/>
          <w:szCs w:val="28"/>
          <w:highlight w:val="none"/>
        </w:rPr>
        <w:t>西安市</w:t>
      </w:r>
      <w:r>
        <w:rPr>
          <w:rFonts w:hint="default" w:ascii="Times New Roman" w:hAnsi="Times New Roman" w:cs="Times New Roman"/>
          <w:color w:val="auto"/>
          <w:kern w:val="0"/>
          <w:sz w:val="28"/>
          <w:szCs w:val="28"/>
          <w:highlight w:val="none"/>
          <w:lang w:val="en-US" w:eastAsia="zh-CN"/>
        </w:rPr>
        <w:t>灞桥区狄寨街道狄寨村</w:t>
      </w:r>
      <w:r>
        <w:rPr>
          <w:rFonts w:hint="eastAsia" w:ascii="Times New Roman" w:hAnsi="Times New Roman" w:cs="Times New Roman"/>
          <w:color w:val="auto"/>
          <w:kern w:val="0"/>
          <w:sz w:val="28"/>
          <w:szCs w:val="28"/>
          <w:highlight w:val="none"/>
          <w:lang w:val="en-US" w:eastAsia="zh-CN"/>
        </w:rPr>
        <w:t>，水源地共两眼井，均位于</w:t>
      </w:r>
      <w:r>
        <w:rPr>
          <w:rFonts w:hint="default" w:ascii="Times New Roman" w:hAnsi="Times New Roman" w:cs="Times New Roman"/>
          <w:color w:val="auto"/>
          <w:kern w:val="0"/>
          <w:sz w:val="28"/>
          <w:szCs w:val="28"/>
          <w:highlight w:val="none"/>
        </w:rPr>
        <w:t>供水站</w:t>
      </w:r>
      <w:r>
        <w:rPr>
          <w:rFonts w:hint="default" w:ascii="Times New Roman" w:hAnsi="Times New Roman" w:cs="Times New Roman"/>
          <w:color w:val="auto"/>
          <w:kern w:val="0"/>
          <w:sz w:val="28"/>
          <w:szCs w:val="28"/>
          <w:highlight w:val="none"/>
          <w:lang w:val="en-US" w:eastAsia="zh-CN"/>
        </w:rPr>
        <w:t>围墙里</w:t>
      </w:r>
      <w:r>
        <w:rPr>
          <w:rFonts w:hint="default" w:ascii="Times New Roman" w:hAnsi="Times New Roman" w:cs="Times New Roman"/>
          <w:color w:val="auto"/>
          <w:kern w:val="0"/>
          <w:sz w:val="28"/>
          <w:szCs w:val="28"/>
          <w:highlight w:val="none"/>
        </w:rPr>
        <w:t>，设有单独</w:t>
      </w:r>
      <w:r>
        <w:rPr>
          <w:rFonts w:hint="default" w:ascii="Times New Roman" w:hAnsi="Times New Roman" w:cs="Times New Roman"/>
          <w:color w:val="auto"/>
          <w:kern w:val="0"/>
          <w:sz w:val="28"/>
          <w:szCs w:val="28"/>
          <w:highlight w:val="none"/>
          <w:lang w:val="en-US" w:eastAsia="zh-CN"/>
        </w:rPr>
        <w:t>井</w:t>
      </w:r>
      <w:r>
        <w:rPr>
          <w:rFonts w:hint="default" w:ascii="Times New Roman" w:hAnsi="Times New Roman" w:cs="Times New Roman"/>
          <w:color w:val="auto"/>
          <w:kern w:val="0"/>
          <w:sz w:val="28"/>
          <w:szCs w:val="28"/>
          <w:highlight w:val="none"/>
        </w:rPr>
        <w:t>房，封闭管理</w:t>
      </w:r>
      <w:r>
        <w:rPr>
          <w:rFonts w:hint="eastAsia" w:ascii="Times New Roman" w:hAnsi="Times New Roman" w:cs="Times New Roman"/>
          <w:color w:val="auto"/>
          <w:kern w:val="0"/>
          <w:sz w:val="28"/>
          <w:szCs w:val="28"/>
          <w:highlight w:val="none"/>
          <w:lang w:eastAsia="zh-CN"/>
        </w:rPr>
        <w:t>。</w:t>
      </w:r>
      <w:r>
        <w:rPr>
          <w:rFonts w:hint="eastAsia" w:ascii="Times New Roman" w:hAnsi="Times New Roman" w:cs="Times New Roman"/>
          <w:color w:val="auto"/>
          <w:kern w:val="0"/>
          <w:sz w:val="28"/>
          <w:szCs w:val="28"/>
          <w:highlight w:val="none"/>
          <w:lang w:val="en-US" w:eastAsia="zh-CN"/>
        </w:rPr>
        <w:t>水源地水源井位置图见附图一。</w:t>
      </w:r>
    </w:p>
    <w:p w14:paraId="42179F17">
      <w:pPr>
        <w:pStyle w:val="5"/>
        <w:snapToGrid w:val="0"/>
        <w:spacing w:before="0" w:after="0" w:line="36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2.5.2水源地运行状况</w:t>
      </w:r>
    </w:p>
    <w:p w14:paraId="619C8628">
      <w:pPr>
        <w:bidi w:val="0"/>
        <w:spacing w:line="360" w:lineRule="auto"/>
        <w:ind w:firstLine="560" w:firstLineChars="200"/>
        <w:rPr>
          <w:rFonts w:hint="default" w:eastAsia="宋体"/>
          <w:color w:val="auto"/>
          <w:lang w:val="en-US" w:eastAsia="zh-CN"/>
        </w:rPr>
      </w:pPr>
      <w:r>
        <w:rPr>
          <w:rFonts w:hint="default" w:ascii="Times New Roman" w:hAnsi="Times New Roman" w:cs="Times New Roman"/>
          <w:color w:val="auto"/>
          <w:kern w:val="0"/>
          <w:sz w:val="28"/>
          <w:szCs w:val="28"/>
          <w:highlight w:val="none"/>
          <w:lang w:val="en-US" w:eastAsia="zh-CN"/>
        </w:rPr>
        <w:t>两眼井均</w:t>
      </w:r>
      <w:r>
        <w:rPr>
          <w:rFonts w:hint="default" w:ascii="Times New Roman" w:hAnsi="Times New Roman" w:cs="Times New Roman"/>
          <w:color w:val="auto"/>
          <w:kern w:val="0"/>
          <w:sz w:val="28"/>
          <w:szCs w:val="28"/>
          <w:highlight w:val="none"/>
        </w:rPr>
        <w:t>建于201</w:t>
      </w:r>
      <w:r>
        <w:rPr>
          <w:rFonts w:hint="default" w:ascii="Times New Roman" w:hAnsi="Times New Roman" w:cs="Times New Roman"/>
          <w:color w:val="auto"/>
          <w:kern w:val="0"/>
          <w:sz w:val="28"/>
          <w:szCs w:val="28"/>
          <w:highlight w:val="none"/>
          <w:lang w:val="en-US" w:eastAsia="zh-CN"/>
        </w:rPr>
        <w:t>5</w:t>
      </w:r>
      <w:r>
        <w:rPr>
          <w:rFonts w:hint="default" w:ascii="Times New Roman" w:hAnsi="Times New Roman" w:cs="Times New Roman"/>
          <w:color w:val="auto"/>
          <w:kern w:val="0"/>
          <w:sz w:val="28"/>
          <w:szCs w:val="28"/>
          <w:highlight w:val="none"/>
        </w:rPr>
        <w:t>年，</w:t>
      </w:r>
      <w:r>
        <w:rPr>
          <w:rFonts w:hint="default" w:ascii="Times New Roman" w:hAnsi="Times New Roman" w:cs="Times New Roman"/>
          <w:color w:val="auto"/>
          <w:kern w:val="0"/>
          <w:sz w:val="28"/>
          <w:szCs w:val="28"/>
          <w:highlight w:val="none"/>
          <w:lang w:val="en-US" w:eastAsia="zh-CN"/>
        </w:rPr>
        <w:t>1#井井深300m，</w:t>
      </w:r>
      <w:r>
        <w:rPr>
          <w:rFonts w:hint="default" w:ascii="Times New Roman" w:hAnsi="Times New Roman" w:cs="Times New Roman"/>
          <w:color w:val="auto"/>
          <w:kern w:val="0"/>
          <w:sz w:val="28"/>
          <w:szCs w:val="28"/>
          <w:highlight w:val="none"/>
        </w:rPr>
        <w:t>设计日供水量</w:t>
      </w:r>
      <w:r>
        <w:rPr>
          <w:rFonts w:hint="default" w:ascii="Times New Roman" w:hAnsi="Times New Roman" w:cs="Times New Roman"/>
          <w:color w:val="auto"/>
          <w:kern w:val="0"/>
          <w:sz w:val="28"/>
          <w:szCs w:val="28"/>
          <w:highlight w:val="none"/>
          <w:lang w:val="en-US" w:eastAsia="zh-CN"/>
        </w:rPr>
        <w:t>432</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eastAsia" w:ascii="Times New Roman" w:hAnsi="Times New Roman" w:cs="Times New Roman"/>
          <w:color w:val="auto"/>
          <w:kern w:val="0"/>
          <w:sz w:val="28"/>
          <w:szCs w:val="28"/>
          <w:highlight w:val="none"/>
          <w:lang w:eastAsia="zh-CN"/>
        </w:rPr>
        <w:t>，</w:t>
      </w:r>
      <w:r>
        <w:rPr>
          <w:rFonts w:hint="default" w:ascii="Times New Roman" w:hAnsi="Times New Roman" w:cs="Times New Roman"/>
          <w:color w:val="auto"/>
          <w:kern w:val="0"/>
          <w:sz w:val="28"/>
          <w:szCs w:val="28"/>
          <w:highlight w:val="none"/>
        </w:rPr>
        <w:t>实际日供水量</w:t>
      </w:r>
      <w:r>
        <w:rPr>
          <w:rFonts w:hint="eastAsia" w:ascii="Times New Roman" w:hAnsi="Times New Roman" w:cs="Times New Roman"/>
          <w:color w:val="auto"/>
          <w:kern w:val="0"/>
          <w:sz w:val="28"/>
          <w:szCs w:val="28"/>
          <w:highlight w:val="none"/>
          <w:lang w:val="en-US" w:eastAsia="zh-CN"/>
        </w:rPr>
        <w:t>为4</w:t>
      </w:r>
      <w:r>
        <w:rPr>
          <w:rFonts w:hint="default" w:ascii="Times New Roman" w:hAnsi="Times New Roman" w:cs="Times New Roman"/>
          <w:color w:val="auto"/>
          <w:kern w:val="0"/>
          <w:sz w:val="28"/>
          <w:szCs w:val="28"/>
          <w:highlight w:val="none"/>
        </w:rPr>
        <w:t>0</w:t>
      </w:r>
      <w:r>
        <w:rPr>
          <w:rFonts w:hint="eastAsia" w:ascii="Times New Roman" w:hAnsi="Times New Roman" w:cs="Times New Roman"/>
          <w:color w:val="auto"/>
          <w:kern w:val="0"/>
          <w:sz w:val="28"/>
          <w:szCs w:val="28"/>
          <w:highlight w:val="none"/>
          <w:lang w:val="en-US" w:eastAsia="zh-CN"/>
        </w:rPr>
        <w:t>6</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default" w:ascii="Times New Roman" w:hAnsi="Times New Roman" w:cs="Times New Roman"/>
          <w:color w:val="auto"/>
          <w:kern w:val="0"/>
          <w:sz w:val="28"/>
          <w:szCs w:val="28"/>
          <w:highlight w:val="none"/>
          <w:lang w:eastAsia="zh-CN"/>
        </w:rPr>
        <w:t>；</w:t>
      </w:r>
      <w:r>
        <w:rPr>
          <w:rFonts w:hint="default" w:ascii="Times New Roman" w:hAnsi="Times New Roman" w:cs="Times New Roman"/>
          <w:color w:val="auto"/>
          <w:kern w:val="0"/>
          <w:sz w:val="28"/>
          <w:szCs w:val="28"/>
          <w:highlight w:val="none"/>
          <w:lang w:val="en-US" w:eastAsia="zh-CN"/>
        </w:rPr>
        <w:t>2#井井深2</w:t>
      </w:r>
      <w:r>
        <w:rPr>
          <w:rFonts w:hint="eastAsia" w:ascii="Times New Roman" w:hAnsi="Times New Roman" w:cs="Times New Roman"/>
          <w:color w:val="auto"/>
          <w:kern w:val="0"/>
          <w:sz w:val="28"/>
          <w:szCs w:val="28"/>
          <w:highlight w:val="none"/>
          <w:lang w:val="en-US" w:eastAsia="zh-CN"/>
        </w:rPr>
        <w:t>8</w:t>
      </w:r>
      <w:r>
        <w:rPr>
          <w:rFonts w:hint="default" w:ascii="Times New Roman" w:hAnsi="Times New Roman" w:cs="Times New Roman"/>
          <w:color w:val="auto"/>
          <w:kern w:val="0"/>
          <w:sz w:val="28"/>
          <w:szCs w:val="28"/>
          <w:highlight w:val="none"/>
          <w:lang w:val="en-US" w:eastAsia="zh-CN"/>
        </w:rPr>
        <w:t>0m</w:t>
      </w:r>
      <w:r>
        <w:rPr>
          <w:rFonts w:hint="default" w:ascii="Times New Roman" w:hAnsi="Times New Roman" w:cs="Times New Roman"/>
          <w:color w:val="auto"/>
          <w:kern w:val="0"/>
          <w:sz w:val="28"/>
          <w:szCs w:val="28"/>
          <w:highlight w:val="none"/>
        </w:rPr>
        <w:t>，设计日供水量</w:t>
      </w:r>
      <w:r>
        <w:rPr>
          <w:rFonts w:hint="eastAsia" w:ascii="Times New Roman" w:hAnsi="Times New Roman" w:cs="Times New Roman"/>
          <w:color w:val="auto"/>
          <w:kern w:val="0"/>
          <w:sz w:val="28"/>
          <w:szCs w:val="28"/>
          <w:highlight w:val="none"/>
          <w:lang w:val="en-US" w:eastAsia="zh-CN"/>
        </w:rPr>
        <w:t>432</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d，实际日供水量</w:t>
      </w:r>
      <w:r>
        <w:rPr>
          <w:rFonts w:hint="eastAsia" w:ascii="Times New Roman" w:hAnsi="Times New Roman" w:cs="Times New Roman"/>
          <w:color w:val="auto"/>
          <w:kern w:val="0"/>
          <w:sz w:val="28"/>
          <w:szCs w:val="28"/>
          <w:highlight w:val="none"/>
          <w:lang w:val="en-US" w:eastAsia="zh-CN"/>
        </w:rPr>
        <w:t>为400</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d，目前运行状况良好。</w:t>
      </w:r>
      <w:r>
        <w:rPr>
          <w:rFonts w:hint="eastAsia" w:ascii="Times New Roman" w:hAnsi="Times New Roman" w:cs="Times New Roman"/>
          <w:color w:val="auto"/>
          <w:kern w:val="0"/>
          <w:sz w:val="28"/>
          <w:szCs w:val="28"/>
          <w:highlight w:val="none"/>
          <w:lang w:val="en-US" w:eastAsia="zh-CN"/>
        </w:rPr>
        <w:t>根据调查，水源井100m范围内无其他同层位的开采井。</w:t>
      </w:r>
    </w:p>
    <w:p w14:paraId="20A1D7FA">
      <w:pPr>
        <w:pStyle w:val="5"/>
        <w:snapToGrid w:val="0"/>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2.5.3地下水水源井的</w:t>
      </w:r>
      <w:r>
        <w:rPr>
          <w:rFonts w:hint="default" w:ascii="Times New Roman" w:hAnsi="Times New Roman" w:cs="Times New Roman"/>
          <w:color w:val="auto"/>
        </w:rPr>
        <w:t>分布情况</w:t>
      </w:r>
    </w:p>
    <w:p w14:paraId="22949F2B">
      <w:pPr>
        <w:snapToGrid w:val="0"/>
        <w:spacing w:line="360" w:lineRule="auto"/>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本次水源地划分共涉及2眼井，</w:t>
      </w:r>
      <w:r>
        <w:rPr>
          <w:rFonts w:hint="default" w:ascii="Times New Roman" w:hAnsi="Times New Roman" w:cs="Times New Roman"/>
          <w:color w:val="auto"/>
          <w:sz w:val="28"/>
          <w:szCs w:val="28"/>
        </w:rPr>
        <w:t>各水源各井口的坐标见表</w:t>
      </w:r>
      <w:r>
        <w:rPr>
          <w:rFonts w:hint="default"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-1。</w:t>
      </w:r>
    </w:p>
    <w:p w14:paraId="340B7194">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default" w:ascii="Times New Roman" w:hAnsi="Times New Roman" w:cs="Times New Roman"/>
          <w:b/>
          <w:color w:val="auto"/>
          <w:sz w:val="24"/>
          <w:szCs w:val="24"/>
          <w:lang w:val="en-US" w:eastAsia="zh-CN"/>
        </w:rPr>
        <w:t>2.</w:t>
      </w:r>
      <w:r>
        <w:rPr>
          <w:rFonts w:hint="eastAsia"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rPr>
        <w:t>-1  饮用水水源地位置表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13"/>
        <w:gridCol w:w="471"/>
        <w:gridCol w:w="312"/>
        <w:gridCol w:w="1520"/>
        <w:gridCol w:w="1415"/>
        <w:gridCol w:w="566"/>
        <w:gridCol w:w="595"/>
        <w:gridCol w:w="1310"/>
        <w:gridCol w:w="2383"/>
      </w:tblGrid>
      <w:tr w14:paraId="6A20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95" w:hRule="atLeast"/>
          <w:tblHeader/>
          <w:jc w:val="center"/>
        </w:trPr>
        <w:tc>
          <w:tcPr>
            <w:tcW w:w="176" w:type="pct"/>
            <w:vMerge w:val="restart"/>
            <w:noWrap w:val="0"/>
            <w:vAlign w:val="center"/>
          </w:tcPr>
          <w:p w14:paraId="3542C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489" w:type="pct"/>
            <w:gridSpan w:val="2"/>
            <w:vMerge w:val="restart"/>
            <w:noWrap w:val="0"/>
            <w:vAlign w:val="center"/>
          </w:tcPr>
          <w:p w14:paraId="55477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水源地名称</w:t>
            </w:r>
          </w:p>
        </w:tc>
        <w:tc>
          <w:tcPr>
            <w:tcW w:w="1651" w:type="pct"/>
            <w:gridSpan w:val="2"/>
            <w:noWrap w:val="0"/>
            <w:vAlign w:val="center"/>
          </w:tcPr>
          <w:p w14:paraId="0F529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井口位置坐标</w:t>
            </w:r>
          </w:p>
        </w:tc>
        <w:tc>
          <w:tcPr>
            <w:tcW w:w="411" w:type="pct"/>
            <w:vMerge w:val="restart"/>
            <w:noWrap w:val="0"/>
            <w:vAlign w:val="center"/>
          </w:tcPr>
          <w:p w14:paraId="13FBA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水源地类型</w:t>
            </w:r>
          </w:p>
        </w:tc>
        <w:tc>
          <w:tcPr>
            <w:tcW w:w="382" w:type="pct"/>
            <w:vMerge w:val="restart"/>
            <w:noWrap w:val="0"/>
            <w:vAlign w:val="center"/>
          </w:tcPr>
          <w:p w14:paraId="378A6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宋体" w:cs="Times New Roman"/>
                <w:b/>
                <w:color w:val="auto"/>
                <w:sz w:val="21"/>
                <w:szCs w:val="21"/>
                <w:lang w:eastAsia="zh-CN"/>
              </w:rPr>
            </w:pPr>
            <w:r>
              <w:rPr>
                <w:rFonts w:hint="eastAsia" w:ascii="Times New Roman" w:hAnsi="Times New Roman" w:cs="Times New Roman"/>
                <w:b/>
                <w:color w:val="auto"/>
                <w:sz w:val="21"/>
                <w:szCs w:val="21"/>
                <w:lang w:val="en-US" w:eastAsia="zh-CN"/>
              </w:rPr>
              <w:t>井深</w:t>
            </w:r>
          </w:p>
        </w:tc>
        <w:tc>
          <w:tcPr>
            <w:tcW w:w="784" w:type="pct"/>
            <w:vMerge w:val="restart"/>
            <w:noWrap w:val="0"/>
            <w:vAlign w:val="center"/>
          </w:tcPr>
          <w:p w14:paraId="6E6729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四邻情况</w:t>
            </w:r>
          </w:p>
        </w:tc>
        <w:tc>
          <w:tcPr>
            <w:tcW w:w="1104" w:type="pct"/>
            <w:vMerge w:val="restart"/>
            <w:noWrap w:val="0"/>
            <w:vAlign w:val="center"/>
          </w:tcPr>
          <w:p w14:paraId="4872C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照片</w:t>
            </w:r>
          </w:p>
        </w:tc>
      </w:tr>
      <w:tr w14:paraId="6140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8" w:hRule="atLeast"/>
          <w:tblHeader/>
          <w:jc w:val="center"/>
        </w:trPr>
        <w:tc>
          <w:tcPr>
            <w:tcW w:w="176" w:type="pct"/>
            <w:vMerge w:val="continue"/>
            <w:noWrap w:val="0"/>
            <w:vAlign w:val="center"/>
          </w:tcPr>
          <w:p w14:paraId="399B8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p>
        </w:tc>
        <w:tc>
          <w:tcPr>
            <w:tcW w:w="489" w:type="pct"/>
            <w:gridSpan w:val="2"/>
            <w:vMerge w:val="continue"/>
            <w:noWrap w:val="0"/>
            <w:vAlign w:val="center"/>
          </w:tcPr>
          <w:p w14:paraId="1D9EF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p>
        </w:tc>
        <w:tc>
          <w:tcPr>
            <w:tcW w:w="855" w:type="pct"/>
            <w:noWrap w:val="0"/>
            <w:vAlign w:val="top"/>
          </w:tcPr>
          <w:p w14:paraId="52FC9E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经度</w:t>
            </w:r>
          </w:p>
        </w:tc>
        <w:tc>
          <w:tcPr>
            <w:tcW w:w="796" w:type="pct"/>
            <w:noWrap w:val="0"/>
            <w:vAlign w:val="center"/>
          </w:tcPr>
          <w:p w14:paraId="7F45E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纬度</w:t>
            </w:r>
          </w:p>
        </w:tc>
        <w:tc>
          <w:tcPr>
            <w:tcW w:w="411" w:type="pct"/>
            <w:vMerge w:val="continue"/>
            <w:noWrap w:val="0"/>
            <w:vAlign w:val="top"/>
          </w:tcPr>
          <w:p w14:paraId="1AB7A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p>
        </w:tc>
        <w:tc>
          <w:tcPr>
            <w:tcW w:w="382" w:type="pct"/>
            <w:vMerge w:val="continue"/>
            <w:noWrap w:val="0"/>
            <w:vAlign w:val="top"/>
          </w:tcPr>
          <w:p w14:paraId="3C8A3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p>
        </w:tc>
        <w:tc>
          <w:tcPr>
            <w:tcW w:w="784" w:type="pct"/>
            <w:vMerge w:val="continue"/>
            <w:noWrap w:val="0"/>
            <w:vAlign w:val="top"/>
          </w:tcPr>
          <w:p w14:paraId="226F4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p>
        </w:tc>
        <w:tc>
          <w:tcPr>
            <w:tcW w:w="1104" w:type="pct"/>
            <w:vMerge w:val="continue"/>
            <w:noWrap w:val="0"/>
            <w:vAlign w:val="top"/>
          </w:tcPr>
          <w:p w14:paraId="24DBA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p>
        </w:tc>
      </w:tr>
      <w:tr w14:paraId="16A9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61" w:hRule="atLeast"/>
          <w:jc w:val="center"/>
        </w:trPr>
        <w:tc>
          <w:tcPr>
            <w:tcW w:w="176" w:type="pct"/>
            <w:vMerge w:val="restart"/>
            <w:noWrap w:val="0"/>
            <w:vAlign w:val="center"/>
          </w:tcPr>
          <w:p w14:paraId="79FD6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1</w:t>
            </w:r>
          </w:p>
        </w:tc>
        <w:tc>
          <w:tcPr>
            <w:tcW w:w="312" w:type="pct"/>
            <w:vMerge w:val="restart"/>
            <w:noWrap w:val="0"/>
            <w:vAlign w:val="center"/>
          </w:tcPr>
          <w:p w14:paraId="0172F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val="0"/>
                <w:bCs/>
                <w:color w:val="auto"/>
                <w:sz w:val="21"/>
                <w:szCs w:val="21"/>
                <w:lang w:val="en-US" w:eastAsia="zh-CN"/>
              </w:rPr>
              <w:t>西安市灞桥区狄寨街道狄寨村水源地</w:t>
            </w:r>
          </w:p>
        </w:tc>
        <w:tc>
          <w:tcPr>
            <w:tcW w:w="176" w:type="pct"/>
            <w:noWrap w:val="0"/>
            <w:vAlign w:val="center"/>
          </w:tcPr>
          <w:p w14:paraId="286AB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kern w:val="0"/>
                <w:sz w:val="21"/>
                <w:szCs w:val="21"/>
              </w:rPr>
              <w:t>1</w:t>
            </w:r>
            <w:r>
              <w:rPr>
                <w:rFonts w:hint="default" w:ascii="Times New Roman" w:hAnsi="Times New Roman" w:cs="Times New Roman"/>
                <w:color w:val="auto"/>
                <w:kern w:val="0"/>
                <w:sz w:val="21"/>
                <w:szCs w:val="21"/>
                <w:lang w:val="en-US" w:eastAsia="zh-CN"/>
              </w:rPr>
              <w:t>#井</w:t>
            </w:r>
          </w:p>
        </w:tc>
        <w:tc>
          <w:tcPr>
            <w:tcW w:w="855" w:type="pct"/>
            <w:noWrap w:val="0"/>
            <w:vAlign w:val="center"/>
          </w:tcPr>
          <w:p w14:paraId="7A67B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109.12350420°</w:t>
            </w:r>
          </w:p>
        </w:tc>
        <w:tc>
          <w:tcPr>
            <w:tcW w:w="796" w:type="pct"/>
            <w:noWrap w:val="0"/>
            <w:vAlign w:val="center"/>
          </w:tcPr>
          <w:p w14:paraId="1BCFB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34.20992165°</w:t>
            </w:r>
          </w:p>
        </w:tc>
        <w:tc>
          <w:tcPr>
            <w:tcW w:w="411" w:type="pct"/>
            <w:noWrap w:val="0"/>
            <w:vAlign w:val="center"/>
          </w:tcPr>
          <w:p w14:paraId="5BF43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承压</w:t>
            </w:r>
            <w:r>
              <w:rPr>
                <w:rFonts w:hint="default" w:ascii="Times New Roman" w:hAnsi="Times New Roman" w:cs="Times New Roman"/>
                <w:b w:val="0"/>
                <w:bCs w:val="0"/>
                <w:color w:val="auto"/>
                <w:sz w:val="21"/>
                <w:szCs w:val="21"/>
                <w:lang w:val="en-US" w:eastAsia="zh-CN"/>
              </w:rPr>
              <w:t>地下水</w:t>
            </w:r>
          </w:p>
        </w:tc>
        <w:tc>
          <w:tcPr>
            <w:tcW w:w="382" w:type="pct"/>
            <w:noWrap w:val="0"/>
            <w:vAlign w:val="center"/>
          </w:tcPr>
          <w:p w14:paraId="30010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300m</w:t>
            </w:r>
          </w:p>
        </w:tc>
        <w:tc>
          <w:tcPr>
            <w:tcW w:w="784" w:type="pct"/>
            <w:noWrap w:val="0"/>
            <w:vAlign w:val="center"/>
          </w:tcPr>
          <w:p w14:paraId="29BBD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东侧、西侧、北侧均为农用地，南邻乡道</w:t>
            </w:r>
          </w:p>
        </w:tc>
        <w:tc>
          <w:tcPr>
            <w:tcW w:w="1104" w:type="pct"/>
            <w:noWrap w:val="0"/>
            <w:vAlign w:val="center"/>
          </w:tcPr>
          <w:p w14:paraId="4CEE3B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inline distT="0" distB="0" distL="114300" distR="114300">
                  <wp:extent cx="1576070" cy="1180465"/>
                  <wp:effectExtent l="0" t="0" r="635" b="5080"/>
                  <wp:docPr id="3" name="图片 3" descr="d2a9e1763b9654ebc0772ea145a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a9e1763b9654ebc0772ea145a7134"/>
                          <pic:cNvPicPr>
                            <a:picLocks noChangeAspect="1"/>
                          </pic:cNvPicPr>
                        </pic:nvPicPr>
                        <pic:blipFill>
                          <a:blip r:embed="rId17"/>
                          <a:stretch>
                            <a:fillRect/>
                          </a:stretch>
                        </pic:blipFill>
                        <pic:spPr>
                          <a:xfrm rot="5400000">
                            <a:off x="0" y="0"/>
                            <a:ext cx="1576070" cy="1180465"/>
                          </a:xfrm>
                          <a:prstGeom prst="rect">
                            <a:avLst/>
                          </a:prstGeom>
                        </pic:spPr>
                      </pic:pic>
                    </a:graphicData>
                  </a:graphic>
                </wp:inline>
              </w:drawing>
            </w:r>
            <w:r>
              <w:rPr>
                <w:rFonts w:hint="eastAsia" w:ascii="Times New Roman" w:hAnsi="Times New Roman" w:eastAsia="宋体" w:cs="Times New Roman"/>
                <w:color w:val="auto"/>
                <w:sz w:val="21"/>
                <w:szCs w:val="21"/>
                <w:lang w:val="en-US" w:eastAsia="zh-CN"/>
              </w:rPr>
              <w:drawing>
                <wp:inline distT="0" distB="0" distL="114300" distR="114300">
                  <wp:extent cx="1440180" cy="1078865"/>
                  <wp:effectExtent l="0" t="0" r="6985" b="7620"/>
                  <wp:docPr id="33" name="图片 33" descr="9525573437b82f07e943188f6a3d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525573437b82f07e943188f6a3dcca"/>
                          <pic:cNvPicPr>
                            <a:picLocks noChangeAspect="1"/>
                          </pic:cNvPicPr>
                        </pic:nvPicPr>
                        <pic:blipFill>
                          <a:blip r:embed="rId18"/>
                          <a:stretch>
                            <a:fillRect/>
                          </a:stretch>
                        </pic:blipFill>
                        <pic:spPr>
                          <a:xfrm rot="5400000">
                            <a:off x="0" y="0"/>
                            <a:ext cx="1440180" cy="1078865"/>
                          </a:xfrm>
                          <a:prstGeom prst="rect">
                            <a:avLst/>
                          </a:prstGeom>
                        </pic:spPr>
                      </pic:pic>
                    </a:graphicData>
                  </a:graphic>
                </wp:inline>
              </w:drawing>
            </w:r>
          </w:p>
        </w:tc>
      </w:tr>
      <w:tr w14:paraId="0BB0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712" w:hRule="atLeast"/>
          <w:jc w:val="center"/>
        </w:trPr>
        <w:tc>
          <w:tcPr>
            <w:tcW w:w="176" w:type="pct"/>
            <w:vMerge w:val="continue"/>
            <w:noWrap w:val="0"/>
            <w:vAlign w:val="center"/>
          </w:tcPr>
          <w:p w14:paraId="71E71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p>
        </w:tc>
        <w:tc>
          <w:tcPr>
            <w:tcW w:w="312" w:type="pct"/>
            <w:vMerge w:val="continue"/>
            <w:noWrap w:val="0"/>
            <w:vAlign w:val="center"/>
          </w:tcPr>
          <w:p w14:paraId="7B4C2F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color w:val="auto"/>
                <w:sz w:val="21"/>
                <w:szCs w:val="21"/>
              </w:rPr>
            </w:pPr>
          </w:p>
        </w:tc>
        <w:tc>
          <w:tcPr>
            <w:tcW w:w="176" w:type="pct"/>
            <w:noWrap w:val="0"/>
            <w:vAlign w:val="center"/>
          </w:tcPr>
          <w:p w14:paraId="69570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kern w:val="0"/>
                <w:sz w:val="21"/>
                <w:szCs w:val="21"/>
              </w:rPr>
              <w:t>2</w:t>
            </w:r>
            <w:r>
              <w:rPr>
                <w:rFonts w:hint="default" w:ascii="Times New Roman" w:hAnsi="Times New Roman" w:cs="Times New Roman"/>
                <w:color w:val="auto"/>
                <w:kern w:val="0"/>
                <w:sz w:val="21"/>
                <w:szCs w:val="21"/>
                <w:lang w:val="en-US" w:eastAsia="zh-CN"/>
              </w:rPr>
              <w:t>#井</w:t>
            </w:r>
          </w:p>
        </w:tc>
        <w:tc>
          <w:tcPr>
            <w:tcW w:w="855" w:type="pct"/>
            <w:noWrap w:val="0"/>
            <w:vAlign w:val="center"/>
          </w:tcPr>
          <w:p w14:paraId="3C7C0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109.12036065°</w:t>
            </w:r>
          </w:p>
        </w:tc>
        <w:tc>
          <w:tcPr>
            <w:tcW w:w="796" w:type="pct"/>
            <w:noWrap w:val="0"/>
            <w:vAlign w:val="center"/>
          </w:tcPr>
          <w:p w14:paraId="46F3A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34.21313309°</w:t>
            </w:r>
          </w:p>
        </w:tc>
        <w:tc>
          <w:tcPr>
            <w:tcW w:w="411" w:type="pct"/>
            <w:noWrap w:val="0"/>
            <w:vAlign w:val="center"/>
          </w:tcPr>
          <w:p w14:paraId="1F001D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承压</w:t>
            </w:r>
            <w:r>
              <w:rPr>
                <w:rFonts w:hint="default" w:ascii="Times New Roman" w:hAnsi="Times New Roman" w:cs="Times New Roman"/>
                <w:b w:val="0"/>
                <w:bCs w:val="0"/>
                <w:color w:val="auto"/>
                <w:sz w:val="21"/>
                <w:szCs w:val="21"/>
                <w:lang w:val="en-US" w:eastAsia="zh-CN"/>
              </w:rPr>
              <w:t>地下水</w:t>
            </w:r>
          </w:p>
        </w:tc>
        <w:tc>
          <w:tcPr>
            <w:tcW w:w="382" w:type="pct"/>
            <w:noWrap w:val="0"/>
            <w:vAlign w:val="center"/>
          </w:tcPr>
          <w:p w14:paraId="3720D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280m</w:t>
            </w:r>
          </w:p>
        </w:tc>
        <w:tc>
          <w:tcPr>
            <w:tcW w:w="784" w:type="pct"/>
            <w:noWrap w:val="0"/>
            <w:vAlign w:val="center"/>
          </w:tcPr>
          <w:p w14:paraId="75D48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西邻乡道，南邻狄寨北路，东侧、北侧为农用地</w:t>
            </w:r>
          </w:p>
        </w:tc>
        <w:tc>
          <w:tcPr>
            <w:tcW w:w="1104" w:type="pct"/>
            <w:noWrap w:val="0"/>
            <w:vAlign w:val="center"/>
          </w:tcPr>
          <w:p w14:paraId="621AB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drawing>
                <wp:inline distT="0" distB="0" distL="114300" distR="114300">
                  <wp:extent cx="1576070" cy="1180465"/>
                  <wp:effectExtent l="0" t="0" r="635" b="5080"/>
                  <wp:docPr id="13" name="图片 13" descr="d5bce4adfbd1fe1b3ee6acde5c1f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bce4adfbd1fe1b3ee6acde5c1fb76"/>
                          <pic:cNvPicPr>
                            <a:picLocks noChangeAspect="1"/>
                          </pic:cNvPicPr>
                        </pic:nvPicPr>
                        <pic:blipFill>
                          <a:blip r:embed="rId19"/>
                          <a:stretch>
                            <a:fillRect/>
                          </a:stretch>
                        </pic:blipFill>
                        <pic:spPr>
                          <a:xfrm rot="5400000">
                            <a:off x="0" y="0"/>
                            <a:ext cx="1576070" cy="1180465"/>
                          </a:xfrm>
                          <a:prstGeom prst="rect">
                            <a:avLst/>
                          </a:prstGeom>
                        </pic:spPr>
                      </pic:pic>
                    </a:graphicData>
                  </a:graphic>
                </wp:inline>
              </w:drawing>
            </w:r>
            <w:r>
              <w:rPr>
                <w:rFonts w:hint="eastAsia" w:ascii="Times New Roman" w:hAnsi="Times New Roman" w:eastAsia="宋体" w:cs="Times New Roman"/>
                <w:color w:val="auto"/>
                <w:sz w:val="21"/>
                <w:szCs w:val="21"/>
                <w:lang w:eastAsia="zh-CN"/>
              </w:rPr>
              <w:drawing>
                <wp:inline distT="0" distB="0" distL="114300" distR="114300">
                  <wp:extent cx="1440180" cy="1670685"/>
                  <wp:effectExtent l="0" t="0" r="7620" b="5715"/>
                  <wp:docPr id="39" name="图片 39" descr="20200723-0934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00723-093401(16)"/>
                          <pic:cNvPicPr>
                            <a:picLocks noChangeAspect="1"/>
                          </pic:cNvPicPr>
                        </pic:nvPicPr>
                        <pic:blipFill>
                          <a:blip r:embed="rId20"/>
                          <a:srcRect l="15766" r="19570"/>
                          <a:stretch>
                            <a:fillRect/>
                          </a:stretch>
                        </pic:blipFill>
                        <pic:spPr>
                          <a:xfrm>
                            <a:off x="0" y="0"/>
                            <a:ext cx="1440180" cy="1670685"/>
                          </a:xfrm>
                          <a:prstGeom prst="rect">
                            <a:avLst/>
                          </a:prstGeom>
                        </pic:spPr>
                      </pic:pic>
                    </a:graphicData>
                  </a:graphic>
                </wp:inline>
              </w:drawing>
            </w:r>
          </w:p>
        </w:tc>
      </w:tr>
    </w:tbl>
    <w:p w14:paraId="07362E01">
      <w:pPr>
        <w:pStyle w:val="5"/>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r>
        <w:rPr>
          <w:rFonts w:hint="eastAsia" w:ascii="Times New Roman" w:hAnsi="Times New Roman" w:cs="Times New Roman"/>
          <w:color w:val="auto"/>
          <w:lang w:val="en-US" w:eastAsia="zh-CN"/>
        </w:rPr>
        <w:t>4水源服务区域调查</w:t>
      </w:r>
    </w:p>
    <w:p w14:paraId="0063A090">
      <w:pPr>
        <w:spacing w:line="360" w:lineRule="auto"/>
        <w:ind w:firstLine="560" w:firstLineChars="200"/>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西安市灞桥区狄寨街道狄寨村水源地主要供水范围为狄寨街道狄寨村，总服务人口数为5000人。其中1#井主要服务于狄寨村1-6组，服务人口约3000人，2#井主要服务于狄寨村7-10组，服务人口约2000人。</w:t>
      </w:r>
    </w:p>
    <w:p w14:paraId="31AE69A4">
      <w:pPr>
        <w:pStyle w:val="5"/>
        <w:rPr>
          <w:rFonts w:hint="default" w:ascii="Times New Roman" w:hAnsi="Times New Roman" w:cs="Times New Roman"/>
          <w:color w:val="auto"/>
          <w:lang w:val="en-US"/>
        </w:rPr>
      </w:pPr>
      <w:r>
        <w:rPr>
          <w:rFonts w:hint="eastAsia" w:ascii="Times New Roman" w:hAnsi="Times New Roman" w:cs="Times New Roman"/>
          <w:b/>
          <w:bCs/>
          <w:color w:val="auto"/>
          <w:sz w:val="28"/>
          <w:szCs w:val="28"/>
          <w:lang w:val="en-US" w:eastAsia="zh-CN"/>
        </w:rPr>
        <w:t>2.5.5</w:t>
      </w:r>
      <w:r>
        <w:rPr>
          <w:rFonts w:hint="default" w:ascii="Times New Roman" w:hAnsi="Times New Roman" w:cs="Times New Roman"/>
          <w:color w:val="auto"/>
        </w:rPr>
        <w:t>饮用水水源地</w:t>
      </w:r>
      <w:r>
        <w:rPr>
          <w:rFonts w:hint="default" w:ascii="Times New Roman" w:hAnsi="Times New Roman" w:cs="Times New Roman"/>
          <w:color w:val="auto"/>
          <w:lang w:val="en-US" w:eastAsia="zh-CN"/>
        </w:rPr>
        <w:t>供水现状</w:t>
      </w:r>
    </w:p>
    <w:p w14:paraId="1CC09CB1">
      <w:pPr>
        <w:spacing w:line="360" w:lineRule="auto"/>
        <w:ind w:firstLine="560" w:firstLineChars="200"/>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本次水源地划分共涉及2眼井，均</w:t>
      </w:r>
      <w:r>
        <w:rPr>
          <w:rFonts w:hint="default" w:ascii="Times New Roman" w:hAnsi="Times New Roman" w:cs="Times New Roman"/>
          <w:color w:val="auto"/>
          <w:sz w:val="28"/>
          <w:szCs w:val="28"/>
          <w:lang w:val="en-US" w:eastAsia="zh-CN"/>
        </w:rPr>
        <w:t>以地下水为水源，1#井位于</w:t>
      </w:r>
      <w:r>
        <w:rPr>
          <w:rFonts w:hint="eastAsia" w:ascii="Times New Roman" w:hAnsi="Times New Roman" w:cs="Times New Roman"/>
          <w:color w:val="auto"/>
          <w:sz w:val="28"/>
          <w:szCs w:val="28"/>
          <w:lang w:val="en-US" w:eastAsia="zh-CN"/>
        </w:rPr>
        <w:t>狄寨村狄寨北路以北</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含水介质类型属孔隙水，埋藏条件为承压水</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kern w:val="0"/>
          <w:sz w:val="28"/>
          <w:szCs w:val="28"/>
          <w:highlight w:val="none"/>
          <w:lang w:val="en-US" w:eastAsia="zh-CN"/>
        </w:rPr>
        <w:t>井深300m，</w:t>
      </w:r>
      <w:r>
        <w:rPr>
          <w:rFonts w:hint="default" w:ascii="Times New Roman" w:hAnsi="Times New Roman" w:cs="Times New Roman"/>
          <w:color w:val="auto"/>
          <w:kern w:val="0"/>
          <w:sz w:val="28"/>
          <w:szCs w:val="28"/>
          <w:highlight w:val="none"/>
        </w:rPr>
        <w:t>设计日供水量</w:t>
      </w:r>
      <w:r>
        <w:rPr>
          <w:rFonts w:hint="default" w:ascii="Times New Roman" w:hAnsi="Times New Roman" w:cs="Times New Roman"/>
          <w:color w:val="auto"/>
          <w:kern w:val="0"/>
          <w:sz w:val="28"/>
          <w:szCs w:val="28"/>
          <w:highlight w:val="none"/>
          <w:lang w:val="en-US" w:eastAsia="zh-CN"/>
        </w:rPr>
        <w:t>432</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eastAsia" w:ascii="Times New Roman" w:hAnsi="Times New Roman" w:cs="Times New Roman"/>
          <w:color w:val="auto"/>
          <w:kern w:val="0"/>
          <w:sz w:val="28"/>
          <w:szCs w:val="28"/>
          <w:highlight w:val="none"/>
          <w:lang w:eastAsia="zh-CN"/>
        </w:rPr>
        <w:t>，</w:t>
      </w:r>
      <w:r>
        <w:rPr>
          <w:rFonts w:hint="default" w:ascii="Times New Roman" w:hAnsi="Times New Roman" w:cs="Times New Roman"/>
          <w:color w:val="auto"/>
          <w:kern w:val="0"/>
          <w:sz w:val="28"/>
          <w:szCs w:val="28"/>
          <w:highlight w:val="none"/>
        </w:rPr>
        <w:t>实际日供水量</w:t>
      </w:r>
      <w:r>
        <w:rPr>
          <w:rFonts w:hint="eastAsia" w:ascii="Times New Roman" w:hAnsi="Times New Roman" w:cs="Times New Roman"/>
          <w:color w:val="auto"/>
          <w:kern w:val="0"/>
          <w:sz w:val="28"/>
          <w:szCs w:val="28"/>
          <w:highlight w:val="none"/>
          <w:lang w:val="en-US" w:eastAsia="zh-CN"/>
        </w:rPr>
        <w:t>为4</w:t>
      </w:r>
      <w:r>
        <w:rPr>
          <w:rFonts w:hint="default" w:ascii="Times New Roman" w:hAnsi="Times New Roman" w:cs="Times New Roman"/>
          <w:color w:val="auto"/>
          <w:kern w:val="0"/>
          <w:sz w:val="28"/>
          <w:szCs w:val="28"/>
          <w:highlight w:val="none"/>
        </w:rPr>
        <w:t>0</w:t>
      </w:r>
      <w:r>
        <w:rPr>
          <w:rFonts w:hint="eastAsia" w:ascii="Times New Roman" w:hAnsi="Times New Roman" w:cs="Times New Roman"/>
          <w:color w:val="auto"/>
          <w:kern w:val="0"/>
          <w:sz w:val="28"/>
          <w:szCs w:val="28"/>
          <w:highlight w:val="none"/>
          <w:lang w:val="en-US" w:eastAsia="zh-CN"/>
        </w:rPr>
        <w:t>6</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eastAsia" w:ascii="Times New Roman" w:hAnsi="Times New Roman" w:cs="Times New Roman"/>
          <w:color w:val="auto"/>
          <w:kern w:val="0"/>
          <w:sz w:val="28"/>
          <w:szCs w:val="28"/>
          <w:highlight w:val="none"/>
          <w:lang w:eastAsia="zh-CN"/>
        </w:rPr>
        <w:t>，</w:t>
      </w:r>
      <w:r>
        <w:rPr>
          <w:rFonts w:hint="eastAsia" w:ascii="Times New Roman" w:hAnsi="Times New Roman" w:cs="Times New Roman"/>
          <w:color w:val="auto"/>
          <w:kern w:val="0"/>
          <w:sz w:val="28"/>
          <w:szCs w:val="28"/>
          <w:highlight w:val="none"/>
          <w:lang w:val="en-US" w:eastAsia="zh-CN"/>
        </w:rPr>
        <w:t>供水人数为3000人。</w:t>
      </w:r>
      <w:r>
        <w:rPr>
          <w:rFonts w:hint="eastAsia" w:ascii="Times New Roman" w:hAnsi="Times New Roman" w:cs="Times New Roman"/>
          <w:color w:val="auto"/>
          <w:sz w:val="28"/>
          <w:szCs w:val="28"/>
          <w:highlight w:val="none"/>
          <w:lang w:val="en-US" w:eastAsia="zh-CN"/>
        </w:rPr>
        <w:t>站内设置一座4m×4m井房，高20m的30t水塔一座，出水经二氧化氯消毒后输送至用户</w:t>
      </w:r>
      <w:r>
        <w:rPr>
          <w:rFonts w:hint="default" w:ascii="Times New Roman" w:hAnsi="Times New Roman" w:cs="Times New Roman"/>
          <w:color w:val="auto"/>
          <w:sz w:val="28"/>
          <w:szCs w:val="28"/>
          <w:lang w:val="en-US" w:eastAsia="zh-CN"/>
        </w:rPr>
        <w:t>，主要供应范围为</w:t>
      </w:r>
      <w:r>
        <w:rPr>
          <w:rFonts w:hint="eastAsia" w:ascii="Times New Roman" w:hAnsi="Times New Roman" w:cs="Times New Roman"/>
          <w:color w:val="auto"/>
          <w:sz w:val="28"/>
          <w:szCs w:val="28"/>
          <w:lang w:val="en-US" w:eastAsia="zh-CN"/>
        </w:rPr>
        <w:t>狄寨街道狄寨村1-6组</w:t>
      </w:r>
      <w:r>
        <w:rPr>
          <w:rFonts w:hint="default" w:ascii="Times New Roman" w:hAnsi="Times New Roman" w:cs="Times New Roman"/>
          <w:color w:val="auto"/>
          <w:sz w:val="28"/>
          <w:szCs w:val="28"/>
          <w:lang w:val="en-US" w:eastAsia="zh-CN"/>
        </w:rPr>
        <w:t>。</w:t>
      </w:r>
    </w:p>
    <w:p w14:paraId="770218CD">
      <w:pPr>
        <w:spacing w:line="360" w:lineRule="auto"/>
        <w:ind w:firstLine="560" w:firstLineChars="200"/>
        <w:rPr>
          <w:rFonts w:hint="default" w:ascii="Times New Roman" w:hAnsi="Times New Roman" w:cs="Times New Roman"/>
          <w:color w:val="auto"/>
          <w:sz w:val="28"/>
          <w:szCs w:val="28"/>
          <w:lang w:val="en-US"/>
        </w:rPr>
      </w:pP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lang w:val="en-US" w:eastAsia="zh-CN"/>
        </w:rPr>
        <w:t>#井位于</w:t>
      </w:r>
      <w:r>
        <w:rPr>
          <w:rFonts w:hint="eastAsia" w:ascii="Times New Roman" w:hAnsi="Times New Roman" w:cs="Times New Roman"/>
          <w:color w:val="auto"/>
          <w:sz w:val="28"/>
          <w:szCs w:val="28"/>
          <w:lang w:val="en-US" w:eastAsia="zh-CN"/>
        </w:rPr>
        <w:t>狄寨村狄寨北路以南160m处</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含水介质类型属孔隙水，埋藏条件为承压水</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kern w:val="0"/>
          <w:sz w:val="28"/>
          <w:szCs w:val="28"/>
          <w:highlight w:val="none"/>
          <w:lang w:val="en-US" w:eastAsia="zh-CN"/>
        </w:rPr>
        <w:t>井深</w:t>
      </w:r>
      <w:r>
        <w:rPr>
          <w:rFonts w:hint="eastAsia" w:ascii="Times New Roman" w:hAnsi="Times New Roman" w:cs="Times New Roman"/>
          <w:color w:val="auto"/>
          <w:kern w:val="0"/>
          <w:sz w:val="28"/>
          <w:szCs w:val="28"/>
          <w:highlight w:val="none"/>
          <w:lang w:val="en-US" w:eastAsia="zh-CN"/>
        </w:rPr>
        <w:t>28</w:t>
      </w:r>
      <w:r>
        <w:rPr>
          <w:rFonts w:hint="default" w:ascii="Times New Roman" w:hAnsi="Times New Roman" w:cs="Times New Roman"/>
          <w:color w:val="auto"/>
          <w:kern w:val="0"/>
          <w:sz w:val="28"/>
          <w:szCs w:val="28"/>
          <w:highlight w:val="none"/>
          <w:lang w:val="en-US" w:eastAsia="zh-CN"/>
        </w:rPr>
        <w:t>0m，</w:t>
      </w:r>
      <w:r>
        <w:rPr>
          <w:rFonts w:hint="default" w:ascii="Times New Roman" w:hAnsi="Times New Roman" w:cs="Times New Roman"/>
          <w:color w:val="auto"/>
          <w:kern w:val="0"/>
          <w:sz w:val="28"/>
          <w:szCs w:val="28"/>
          <w:highlight w:val="none"/>
        </w:rPr>
        <w:t>设计日供水量</w:t>
      </w:r>
      <w:r>
        <w:rPr>
          <w:rFonts w:hint="eastAsia" w:ascii="Times New Roman" w:hAnsi="Times New Roman" w:cs="Times New Roman"/>
          <w:color w:val="auto"/>
          <w:kern w:val="0"/>
          <w:sz w:val="28"/>
          <w:szCs w:val="28"/>
          <w:highlight w:val="none"/>
          <w:lang w:val="en-US" w:eastAsia="zh-CN"/>
        </w:rPr>
        <w:t>432</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eastAsia" w:ascii="Times New Roman" w:hAnsi="Times New Roman" w:cs="Times New Roman"/>
          <w:color w:val="auto"/>
          <w:kern w:val="0"/>
          <w:sz w:val="28"/>
          <w:szCs w:val="28"/>
          <w:highlight w:val="none"/>
          <w:lang w:eastAsia="zh-CN"/>
        </w:rPr>
        <w:t>，</w:t>
      </w:r>
      <w:r>
        <w:rPr>
          <w:rFonts w:hint="default" w:ascii="Times New Roman" w:hAnsi="Times New Roman" w:cs="Times New Roman"/>
          <w:color w:val="auto"/>
          <w:kern w:val="0"/>
          <w:sz w:val="28"/>
          <w:szCs w:val="28"/>
          <w:highlight w:val="none"/>
        </w:rPr>
        <w:t>实际日供水量</w:t>
      </w:r>
      <w:r>
        <w:rPr>
          <w:rFonts w:hint="eastAsia" w:ascii="Times New Roman" w:hAnsi="Times New Roman" w:cs="Times New Roman"/>
          <w:color w:val="auto"/>
          <w:kern w:val="0"/>
          <w:sz w:val="28"/>
          <w:szCs w:val="28"/>
          <w:highlight w:val="none"/>
          <w:lang w:val="en-US" w:eastAsia="zh-CN"/>
        </w:rPr>
        <w:t>为400</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eastAsia" w:ascii="Times New Roman" w:hAnsi="Times New Roman" w:cs="Times New Roman"/>
          <w:color w:val="auto"/>
          <w:kern w:val="0"/>
          <w:sz w:val="28"/>
          <w:szCs w:val="28"/>
          <w:highlight w:val="none"/>
          <w:lang w:eastAsia="zh-CN"/>
        </w:rPr>
        <w:t>，</w:t>
      </w:r>
      <w:r>
        <w:rPr>
          <w:rFonts w:hint="eastAsia" w:ascii="Times New Roman" w:hAnsi="Times New Roman" w:cs="Times New Roman"/>
          <w:color w:val="auto"/>
          <w:kern w:val="0"/>
          <w:sz w:val="28"/>
          <w:szCs w:val="28"/>
          <w:highlight w:val="none"/>
          <w:lang w:val="en-US" w:eastAsia="zh-CN"/>
        </w:rPr>
        <w:t>供水人数为2000人。</w:t>
      </w:r>
      <w:r>
        <w:rPr>
          <w:rFonts w:hint="eastAsia" w:ascii="Times New Roman" w:hAnsi="Times New Roman" w:cs="Times New Roman"/>
          <w:color w:val="auto"/>
          <w:sz w:val="28"/>
          <w:szCs w:val="28"/>
          <w:lang w:val="en-US" w:eastAsia="zh-CN"/>
        </w:rPr>
        <w:t>站内设置一座4m×4m井房，高20m的30t水塔一座，</w:t>
      </w:r>
      <w:r>
        <w:rPr>
          <w:rFonts w:hint="eastAsia" w:ascii="Times New Roman" w:hAnsi="Times New Roman" w:cs="Times New Roman"/>
          <w:color w:val="auto"/>
          <w:sz w:val="28"/>
          <w:szCs w:val="28"/>
          <w:highlight w:val="none"/>
          <w:lang w:val="en-US" w:eastAsia="zh-CN"/>
        </w:rPr>
        <w:t>出水经二氧化氯消毒后输送至用户</w:t>
      </w:r>
      <w:r>
        <w:rPr>
          <w:rFonts w:hint="default" w:ascii="Times New Roman" w:hAnsi="Times New Roman" w:cs="Times New Roman"/>
          <w:color w:val="auto"/>
          <w:sz w:val="28"/>
          <w:szCs w:val="28"/>
          <w:lang w:val="en-US" w:eastAsia="zh-CN"/>
        </w:rPr>
        <w:t>，主要供应范围为</w:t>
      </w:r>
      <w:r>
        <w:rPr>
          <w:rFonts w:hint="eastAsia" w:ascii="Times New Roman" w:hAnsi="Times New Roman" w:cs="Times New Roman"/>
          <w:color w:val="auto"/>
          <w:sz w:val="28"/>
          <w:szCs w:val="28"/>
          <w:lang w:val="en-US" w:eastAsia="zh-CN"/>
        </w:rPr>
        <w:t>狄寨街道狄寨村7-10组</w:t>
      </w:r>
      <w:r>
        <w:rPr>
          <w:rFonts w:hint="default" w:ascii="Times New Roman" w:hAnsi="Times New Roman" w:cs="Times New Roman"/>
          <w:color w:val="auto"/>
          <w:sz w:val="28"/>
          <w:szCs w:val="28"/>
          <w:lang w:val="en-US" w:eastAsia="zh-CN"/>
        </w:rPr>
        <w:t>。</w:t>
      </w:r>
    </w:p>
    <w:p w14:paraId="4538029C">
      <w:pPr>
        <w:spacing w:line="360" w:lineRule="auto"/>
        <w:ind w:firstLine="420" w:firstLineChars="200"/>
        <w:rPr>
          <w:rFonts w:hint="default" w:ascii="Times New Roman" w:hAnsi="Times New Roman" w:cs="Times New Roman"/>
          <w:color w:val="auto"/>
        </w:rPr>
        <w:sectPr>
          <w:footerReference r:id="rId6" w:type="default"/>
          <w:pgSz w:w="11907" w:h="16443"/>
          <w:pgMar w:top="1134" w:right="1418" w:bottom="935" w:left="1701"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5553D5D3">
      <w:pPr>
        <w:pStyle w:val="5"/>
        <w:rPr>
          <w:rFonts w:hint="eastAsia" w:ascii="Times New Roman" w:hAnsi="Times New Roman" w:cs="Times New Roman"/>
          <w:color w:val="auto"/>
          <w:lang w:val="en-US" w:eastAsia="zh-CN"/>
        </w:rPr>
      </w:pPr>
      <w:bookmarkStart w:id="42" w:name="_Toc462134879"/>
      <w:bookmarkStart w:id="43" w:name="_Toc456339277"/>
      <w:bookmarkStart w:id="44" w:name="_Toc463685537"/>
      <w:r>
        <w:rPr>
          <w:rFonts w:hint="eastAsia" w:ascii="Times New Roman" w:hAnsi="Times New Roman" w:cs="Times New Roman"/>
          <w:color w:val="auto"/>
          <w:lang w:val="en-US" w:eastAsia="zh-CN"/>
        </w:rPr>
        <w:t>2.5.6水源地水文地质条件</w:t>
      </w:r>
    </w:p>
    <w:p w14:paraId="787B503A">
      <w:pPr>
        <w:ind w:firstLine="560" w:firstLineChars="200"/>
        <w:rPr>
          <w:rFonts w:hint="eastAsia" w:ascii="Times New Roman" w:hAnsi="Times New Roman" w:cs="Times New Roman"/>
          <w:color w:val="auto"/>
          <w:kern w:val="2"/>
          <w:sz w:val="28"/>
          <w:szCs w:val="28"/>
          <w:lang w:val="en-US" w:eastAsia="zh-CN" w:bidi="ar-SA"/>
        </w:rPr>
      </w:pPr>
      <w:r>
        <w:rPr>
          <w:rFonts w:hint="default" w:ascii="Times New Roman" w:hAnsi="Times New Roman" w:eastAsia="宋体" w:cs="Times New Roman"/>
          <w:b w:val="0"/>
          <w:bCs w:val="0"/>
          <w:color w:val="auto"/>
          <w:sz w:val="28"/>
          <w:szCs w:val="28"/>
          <w:lang w:eastAsia="zh-CN"/>
        </w:rPr>
        <w:t>根据各供水站凿井工程报告以及</w:t>
      </w:r>
      <w:r>
        <w:rPr>
          <w:rFonts w:hint="eastAsia" w:ascii="Times New Roman" w:hAnsi="Times New Roman" w:cs="Times New Roman"/>
          <w:b w:val="0"/>
          <w:bCs w:val="0"/>
          <w:color w:val="auto"/>
          <w:sz w:val="28"/>
          <w:szCs w:val="28"/>
          <w:lang w:eastAsia="zh-CN"/>
        </w:rPr>
        <w:t>《</w:t>
      </w:r>
      <w:r>
        <w:rPr>
          <w:rFonts w:hint="eastAsia" w:ascii="Times New Roman" w:hAnsi="Times New Roman" w:eastAsia="宋体" w:cs="Times New Roman"/>
          <w:b w:val="0"/>
          <w:bCs w:val="0"/>
          <w:color w:val="auto"/>
          <w:sz w:val="28"/>
          <w:szCs w:val="28"/>
          <w:lang w:eastAsia="zh-CN"/>
        </w:rPr>
        <w:t>西安市灞桥区</w:t>
      </w:r>
      <w:r>
        <w:rPr>
          <w:rFonts w:hint="eastAsia" w:ascii="Times New Roman" w:hAnsi="Times New Roman" w:eastAsia="宋体" w:cs="Times New Roman"/>
          <w:b w:val="0"/>
          <w:bCs w:val="0"/>
          <w:color w:val="auto"/>
          <w:sz w:val="28"/>
          <w:szCs w:val="28"/>
          <w:lang w:val="en-US" w:eastAsia="zh-CN"/>
        </w:rPr>
        <w:t>狄寨街办狄寨村安全饮水工程初步设计报告</w:t>
      </w:r>
      <w:r>
        <w:rPr>
          <w:rFonts w:hint="eastAsia" w:ascii="Times New Roman" w:hAnsi="Times New Roman" w:cs="Times New Roman"/>
          <w:b w:val="0"/>
          <w:bCs w:val="0"/>
          <w:color w:val="auto"/>
          <w:sz w:val="28"/>
          <w:szCs w:val="28"/>
          <w:lang w:eastAsia="zh-CN"/>
        </w:rPr>
        <w:t>》</w:t>
      </w:r>
      <w:r>
        <w:rPr>
          <w:rFonts w:hint="default" w:ascii="Times New Roman" w:hAnsi="Times New Roman" w:eastAsia="宋体" w:cs="Times New Roman"/>
          <w:b w:val="0"/>
          <w:bCs w:val="0"/>
          <w:color w:val="auto"/>
          <w:sz w:val="28"/>
          <w:szCs w:val="28"/>
          <w:lang w:eastAsia="zh-CN"/>
        </w:rPr>
        <w:t>，</w:t>
      </w:r>
      <w:r>
        <w:rPr>
          <w:rFonts w:hint="eastAsia" w:ascii="Times New Roman" w:hAnsi="Times New Roman" w:eastAsia="宋体" w:cs="Times New Roman"/>
          <w:b w:val="0"/>
          <w:bCs w:val="0"/>
          <w:color w:val="auto"/>
          <w:sz w:val="28"/>
          <w:szCs w:val="28"/>
          <w:lang w:val="en-US" w:eastAsia="zh-CN"/>
        </w:rPr>
        <w:t>狄寨村</w:t>
      </w:r>
      <w:r>
        <w:rPr>
          <w:rFonts w:hint="default" w:ascii="Times New Roman" w:hAnsi="Times New Roman" w:eastAsia="宋体" w:cs="Times New Roman"/>
          <w:b w:val="0"/>
          <w:bCs w:val="0"/>
          <w:color w:val="auto"/>
          <w:sz w:val="28"/>
          <w:szCs w:val="28"/>
          <w:lang w:eastAsia="zh-CN"/>
        </w:rPr>
        <w:t>水源地所在地层地下水类型均属</w:t>
      </w:r>
      <w:r>
        <w:rPr>
          <w:rFonts w:hint="eastAsia" w:ascii="Times New Roman" w:hAnsi="Times New Roman" w:cs="Times New Roman"/>
          <w:b w:val="0"/>
          <w:bCs w:val="0"/>
          <w:color w:val="auto"/>
          <w:sz w:val="28"/>
          <w:szCs w:val="28"/>
          <w:lang w:val="en-US" w:eastAsia="zh-CN"/>
        </w:rPr>
        <w:t>碎屑岩类裂</w:t>
      </w:r>
      <w:r>
        <w:rPr>
          <w:rFonts w:hint="default" w:ascii="Times New Roman" w:hAnsi="Times New Roman" w:eastAsia="宋体" w:cs="Times New Roman"/>
          <w:b w:val="0"/>
          <w:bCs w:val="0"/>
          <w:color w:val="auto"/>
          <w:sz w:val="28"/>
          <w:szCs w:val="28"/>
          <w:lang w:eastAsia="zh-CN"/>
        </w:rPr>
        <w:t>隙孔隙水，取水层位均为承压水，地下水含水岩性为承压含水岩组，岩性以</w:t>
      </w:r>
      <w:r>
        <w:rPr>
          <w:rFonts w:hint="eastAsia" w:ascii="Times New Roman" w:hAnsi="Times New Roman" w:eastAsia="宋体" w:cs="Times New Roman"/>
          <w:b w:val="0"/>
          <w:bCs w:val="0"/>
          <w:color w:val="auto"/>
          <w:sz w:val="28"/>
          <w:szCs w:val="28"/>
          <w:lang w:val="en-US" w:eastAsia="zh-CN"/>
        </w:rPr>
        <w:t>上更新统</w:t>
      </w:r>
      <w:r>
        <w:rPr>
          <w:rFonts w:hint="eastAsia" w:ascii="Times New Roman" w:hAnsi="Times New Roman" w:cs="Times New Roman"/>
          <w:b w:val="0"/>
          <w:bCs w:val="0"/>
          <w:color w:val="auto"/>
          <w:sz w:val="28"/>
          <w:szCs w:val="28"/>
          <w:lang w:val="en-US" w:eastAsia="zh-CN"/>
        </w:rPr>
        <w:t>风积层</w:t>
      </w:r>
      <w:r>
        <w:rPr>
          <w:rFonts w:hint="default" w:ascii="Times New Roman" w:hAnsi="Times New Roman" w:eastAsia="宋体" w:cs="Times New Roman"/>
          <w:b w:val="0"/>
          <w:bCs w:val="0"/>
          <w:color w:val="auto"/>
          <w:sz w:val="28"/>
          <w:szCs w:val="28"/>
          <w:lang w:eastAsia="zh-CN"/>
        </w:rPr>
        <w:t>，</w:t>
      </w:r>
      <w:r>
        <w:rPr>
          <w:rFonts w:hint="eastAsia" w:ascii="Times New Roman" w:hAnsi="Times New Roman" w:cs="Times New Roman"/>
          <w:b w:val="0"/>
          <w:bCs w:val="0"/>
          <w:color w:val="auto"/>
          <w:sz w:val="28"/>
          <w:szCs w:val="28"/>
          <w:lang w:val="en-US" w:eastAsia="zh-CN"/>
        </w:rPr>
        <w:t>含水层厚度19-66m，渗透系数0.12-0.45m/d，单井涌水量100-500m</w:t>
      </w:r>
      <w:r>
        <w:rPr>
          <w:rFonts w:hint="eastAsia" w:ascii="Times New Roman" w:hAnsi="Times New Roman" w:cs="Times New Roman"/>
          <w:b w:val="0"/>
          <w:bCs w:val="0"/>
          <w:color w:val="auto"/>
          <w:sz w:val="28"/>
          <w:szCs w:val="28"/>
          <w:vertAlign w:val="superscript"/>
          <w:lang w:val="en-US" w:eastAsia="zh-CN"/>
        </w:rPr>
        <w:t>3</w:t>
      </w:r>
      <w:r>
        <w:rPr>
          <w:rFonts w:hint="eastAsia" w:ascii="Times New Roman" w:hAnsi="Times New Roman" w:cs="Times New Roman"/>
          <w:b w:val="0"/>
          <w:bCs w:val="0"/>
          <w:color w:val="auto"/>
          <w:sz w:val="28"/>
          <w:szCs w:val="28"/>
          <w:lang w:val="en-US" w:eastAsia="zh-CN"/>
        </w:rPr>
        <w:t>/d</w:t>
      </w:r>
      <w:r>
        <w:rPr>
          <w:rFonts w:hint="eastAsia" w:ascii="Times New Roman" w:hAnsi="Times New Roman" w:eastAsia="宋体" w:cs="Times New Roman"/>
          <w:color w:val="auto"/>
          <w:kern w:val="2"/>
          <w:sz w:val="28"/>
          <w:szCs w:val="28"/>
          <w:lang w:val="en-US" w:eastAsia="zh-CN" w:bidi="ar-SA"/>
        </w:rPr>
        <w:t>。</w:t>
      </w:r>
      <w:r>
        <w:rPr>
          <w:rFonts w:hint="eastAsia" w:ascii="Times New Roman" w:hAnsi="Times New Roman" w:cs="Times New Roman"/>
          <w:color w:val="auto"/>
          <w:kern w:val="2"/>
          <w:sz w:val="28"/>
          <w:szCs w:val="28"/>
          <w:lang w:val="en-US" w:eastAsia="zh-CN" w:bidi="ar-SA"/>
        </w:rPr>
        <w:t>地下水流向为自东南向西北，地下水流向图见图2.1-5。</w:t>
      </w:r>
    </w:p>
    <w:p w14:paraId="3329663C">
      <w:pPr>
        <w:ind w:firstLine="560" w:firstLineChars="200"/>
        <w:rPr>
          <w:rFonts w:hint="default" w:ascii="Times New Roman" w:hAnsi="Times New Roman" w:cs="Times New Roman"/>
          <w:color w:val="auto"/>
          <w:kern w:val="2"/>
          <w:sz w:val="28"/>
          <w:szCs w:val="28"/>
          <w:lang w:val="en-US" w:eastAsia="zh-CN" w:bidi="ar-SA"/>
        </w:rPr>
      </w:pPr>
      <w:r>
        <w:rPr>
          <w:rFonts w:hint="eastAsia" w:ascii="Times New Roman" w:hAnsi="Times New Roman" w:cs="Times New Roman"/>
          <w:color w:val="auto"/>
          <w:kern w:val="2"/>
          <w:sz w:val="28"/>
          <w:szCs w:val="28"/>
          <w:lang w:val="en-US" w:eastAsia="zh-CN" w:bidi="ar-SA"/>
        </w:rPr>
        <w:t>根据成井资料，水源井滤水管总长32m，这32m分别装在100-104m、140-144m、168-180m、188-196m、200-204m；沉淀管安装在滤水管下端，长8m，托管长度1m，底端为收口锥形。依据抽水实验结果，水位埋深50m，抽水时间为72h，稳定时间为24h，静水位80m，动水位160m，抽水降深80m，涌水量为20m</w:t>
      </w:r>
      <w:r>
        <w:rPr>
          <w:rFonts w:hint="eastAsia" w:ascii="Times New Roman" w:hAnsi="Times New Roman" w:cs="Times New Roman"/>
          <w:color w:val="auto"/>
          <w:kern w:val="2"/>
          <w:sz w:val="28"/>
          <w:szCs w:val="28"/>
          <w:vertAlign w:val="superscript"/>
          <w:lang w:val="en-US" w:eastAsia="zh-CN" w:bidi="ar-SA"/>
        </w:rPr>
        <w:t>3</w:t>
      </w:r>
      <w:r>
        <w:rPr>
          <w:rFonts w:hint="eastAsia" w:ascii="Times New Roman" w:hAnsi="Times New Roman" w:cs="Times New Roman"/>
          <w:color w:val="auto"/>
          <w:kern w:val="2"/>
          <w:sz w:val="28"/>
          <w:szCs w:val="28"/>
          <w:lang w:val="en-US" w:eastAsia="zh-CN" w:bidi="ar-SA"/>
        </w:rPr>
        <w:t>/h，单位出水量为0.25m</w:t>
      </w:r>
      <w:r>
        <w:rPr>
          <w:rFonts w:hint="eastAsia" w:ascii="Times New Roman" w:hAnsi="Times New Roman" w:cs="Times New Roman"/>
          <w:color w:val="auto"/>
          <w:kern w:val="2"/>
          <w:sz w:val="28"/>
          <w:szCs w:val="28"/>
          <w:vertAlign w:val="superscript"/>
          <w:lang w:val="en-US" w:eastAsia="zh-CN" w:bidi="ar-SA"/>
        </w:rPr>
        <w:t>3</w:t>
      </w:r>
      <w:r>
        <w:rPr>
          <w:rFonts w:hint="eastAsia" w:ascii="Times New Roman" w:hAnsi="Times New Roman" w:cs="Times New Roman"/>
          <w:color w:val="auto"/>
          <w:kern w:val="2"/>
          <w:sz w:val="28"/>
          <w:szCs w:val="28"/>
          <w:lang w:val="en-US" w:eastAsia="zh-CN" w:bidi="ar-SA"/>
        </w:rPr>
        <w:t>/h·m。</w:t>
      </w:r>
    </w:p>
    <w:p w14:paraId="29CDCD44">
      <w:pPr>
        <w:jc w:val="both"/>
        <w:rPr>
          <w:rFonts w:hint="eastAsia" w:ascii="Times New Roman" w:hAnsi="Times New Roman" w:eastAsia="宋体" w:cs="Times New Roman"/>
          <w:color w:val="auto"/>
          <w:kern w:val="2"/>
          <w:sz w:val="28"/>
          <w:szCs w:val="28"/>
          <w:lang w:val="en-US" w:eastAsia="zh-CN" w:bidi="ar-SA"/>
        </w:rPr>
      </w:pPr>
      <w:r>
        <w:rPr>
          <w:color w:val="auto"/>
          <w:sz w:val="28"/>
        </w:rPr>
        <mc:AlternateContent>
          <mc:Choice Requires="wps">
            <w:drawing>
              <wp:anchor distT="0" distB="0" distL="114300" distR="114300" simplePos="0" relativeHeight="251674624" behindDoc="0" locked="0" layoutInCell="1" allowOverlap="1">
                <wp:simplePos x="0" y="0"/>
                <wp:positionH relativeFrom="column">
                  <wp:posOffset>3114675</wp:posOffset>
                </wp:positionH>
                <wp:positionV relativeFrom="paragraph">
                  <wp:posOffset>3921760</wp:posOffset>
                </wp:positionV>
                <wp:extent cx="75565" cy="75565"/>
                <wp:effectExtent l="10160" t="13970" r="28575" b="24765"/>
                <wp:wrapNone/>
                <wp:docPr id="36" name="等腰三角形 36"/>
                <wp:cNvGraphicFramePr/>
                <a:graphic xmlns:a="http://schemas.openxmlformats.org/drawingml/2006/main">
                  <a:graphicData uri="http://schemas.microsoft.com/office/word/2010/wordprocessingShape">
                    <wps:wsp>
                      <wps:cNvSpPr/>
                      <wps:spPr>
                        <a:xfrm>
                          <a:off x="0" y="0"/>
                          <a:ext cx="75565" cy="7556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5.25pt;margin-top:308.8pt;height:5.95pt;width:5.95pt;z-index:251674624;v-text-anchor:middle;mso-width-relative:page;mso-height-relative:page;" fillcolor="#FF0000" filled="t" stroked="t" coordsize="21600,21600" o:gfxdata="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33o2C3AAAAAsBAAAPAAAAAAAAAAEA&#10;IAAAACIAAABkcnMvZG93bnJldi54bWxQSwECFAAUAAAACACHTuJAs//BXn0CAAAABQAADgAAAAAA&#10;AAABACAAAAArAQAAZHJzL2Uyb0RvYy54bWxQSwUGAAAAAAYABgBZAQAAGgYAAAAA&#10;" adj="10800">
                <v:fill on="t" focussize="0,0"/>
                <v:stroke weight="1pt" color="#FF0000 [3204]" miterlimit="8" joinstyle="miter"/>
                <v:imagedata o:title=""/>
                <o:lock v:ext="edit" aspectratio="f"/>
              </v:shape>
            </w:pict>
          </mc:Fallback>
        </mc:AlternateContent>
      </w:r>
      <w:r>
        <w:rPr>
          <w:color w:val="auto"/>
          <w:sz w:val="28"/>
        </w:rPr>
        <mc:AlternateContent>
          <mc:Choice Requires="wps">
            <w:drawing>
              <wp:anchor distT="0" distB="0" distL="114300" distR="114300" simplePos="0" relativeHeight="251673600" behindDoc="0" locked="0" layoutInCell="1" allowOverlap="1">
                <wp:simplePos x="0" y="0"/>
                <wp:positionH relativeFrom="column">
                  <wp:posOffset>3202940</wp:posOffset>
                </wp:positionH>
                <wp:positionV relativeFrom="paragraph">
                  <wp:posOffset>3267075</wp:posOffset>
                </wp:positionV>
                <wp:extent cx="694690" cy="342265"/>
                <wp:effectExtent l="64770" t="6350" r="21590" b="413385"/>
                <wp:wrapNone/>
                <wp:docPr id="37" name="圆角矩形标注 37"/>
                <wp:cNvGraphicFramePr/>
                <a:graphic xmlns:a="http://schemas.openxmlformats.org/drawingml/2006/main">
                  <a:graphicData uri="http://schemas.microsoft.com/office/word/2010/wordprocessingShape">
                    <wps:wsp>
                      <wps:cNvSpPr/>
                      <wps:spPr>
                        <a:xfrm>
                          <a:off x="0" y="0"/>
                          <a:ext cx="694690" cy="342265"/>
                        </a:xfrm>
                        <a:prstGeom prst="wedgeRoundRectCallout">
                          <a:avLst>
                            <a:gd name="adj1" fmla="val -56303"/>
                            <a:gd name="adj2" fmla="val 15667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F90D9">
                            <w:pPr>
                              <w:jc w:val="both"/>
                              <w:rPr>
                                <w:rFonts w:hint="default" w:eastAsia="宋体"/>
                                <w:color w:val="auto"/>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r>
                              <w:rPr>
                                <w:rFonts w:hint="eastAsia"/>
                                <w:color w:val="auto"/>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2.2pt;margin-top:257.25pt;height:26.95pt;width:54.7pt;z-index:251673600;v-text-anchor:middle;mso-width-relative:page;mso-height-relative:page;" filled="f" stroked="t" coordsize="21600,21600" o:gfxdata="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ZvpBJ2AAAAAsBAAAPAAAAAAAA&#10;AAEAIAAAACIAAABkcnMvZG93bnJldi54bWxQSwECFAAUAAAACACHTuJATjt32b0CAABrBQAADgAA&#10;AAAAAAABACAAAAAnAQAAZHJzL2Uyb0RvYy54bWxQSwUGAAAAAAYABgBZAQAAVgYAAAAA&#10;" adj="-1361,44643,14400">
                <v:fill on="f" focussize="0,0"/>
                <v:stroke weight="1pt" color="#000000 [3213]" miterlimit="8" joinstyle="miter"/>
                <v:imagedata o:title=""/>
                <o:lock v:ext="edit" aspectratio="f"/>
                <v:textbox>
                  <w:txbxContent>
                    <w:p w14:paraId="5F2F90D9">
                      <w:pPr>
                        <w:jc w:val="both"/>
                        <w:rPr>
                          <w:rFonts w:hint="default" w:eastAsia="宋体"/>
                          <w:color w:val="auto"/>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r>
                        <w:rPr>
                          <w:rFonts w:hint="eastAsia"/>
                          <w:color w:val="auto"/>
                          <w:lang w:val="en-US" w:eastAsia="zh-CN"/>
                        </w:rPr>
                        <w:t xml:space="preserve"> </w:t>
                      </w:r>
                    </w:p>
                  </w:txbxContent>
                </v:textbox>
              </v:shape>
            </w:pict>
          </mc:Fallback>
        </mc:AlternateContent>
      </w:r>
      <w:r>
        <w:rPr>
          <w:color w:val="auto"/>
        </w:rPr>
        <w:drawing>
          <wp:anchor distT="0" distB="0" distL="114300" distR="114300" simplePos="0" relativeHeight="251672576" behindDoc="0" locked="0" layoutInCell="1" allowOverlap="1">
            <wp:simplePos x="0" y="0"/>
            <wp:positionH relativeFrom="column">
              <wp:posOffset>2540</wp:posOffset>
            </wp:positionH>
            <wp:positionV relativeFrom="paragraph">
              <wp:posOffset>814705</wp:posOffset>
            </wp:positionV>
            <wp:extent cx="854075" cy="4679950"/>
            <wp:effectExtent l="0" t="0" r="3175" b="6350"/>
            <wp:wrapNone/>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1"/>
                    <a:srcRect l="7440" r="2790"/>
                    <a:stretch>
                      <a:fillRect/>
                    </a:stretch>
                  </pic:blipFill>
                  <pic:spPr>
                    <a:xfrm>
                      <a:off x="0" y="0"/>
                      <a:ext cx="854075" cy="4679950"/>
                    </a:xfrm>
                    <a:prstGeom prst="rect">
                      <a:avLst/>
                    </a:prstGeom>
                    <a:noFill/>
                    <a:ln>
                      <a:noFill/>
                    </a:ln>
                  </pic:spPr>
                </pic:pic>
              </a:graphicData>
            </a:graphic>
          </wp:anchor>
        </w:drawing>
      </w:r>
      <w:r>
        <w:rPr>
          <w:rFonts w:hint="eastAsia" w:ascii="Times New Roman" w:hAnsi="Times New Roman" w:eastAsia="宋体" w:cs="Times New Roman"/>
          <w:color w:val="auto"/>
          <w:kern w:val="2"/>
          <w:sz w:val="28"/>
          <w:szCs w:val="28"/>
          <w:lang w:val="en-US" w:eastAsia="zh-CN" w:bidi="ar-SA"/>
        </w:rPr>
        <w:drawing>
          <wp:inline distT="0" distB="0" distL="114300" distR="114300">
            <wp:extent cx="7200265" cy="5500370"/>
            <wp:effectExtent l="0" t="0" r="5080" b="635"/>
            <wp:docPr id="34" name="图片 34" descr="8e3af6e3f8b211fe58bd70ca4cd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e3af6e3f8b211fe58bd70ca4cdb400"/>
                    <pic:cNvPicPr>
                      <a:picLocks noChangeAspect="1"/>
                    </pic:cNvPicPr>
                  </pic:nvPicPr>
                  <pic:blipFill>
                    <a:blip r:embed="rId22"/>
                    <a:srcRect r="1819"/>
                    <a:stretch>
                      <a:fillRect/>
                    </a:stretch>
                  </pic:blipFill>
                  <pic:spPr>
                    <a:xfrm rot="5400000">
                      <a:off x="0" y="0"/>
                      <a:ext cx="7200265" cy="5500370"/>
                    </a:xfrm>
                    <a:prstGeom prst="rect">
                      <a:avLst/>
                    </a:prstGeom>
                  </pic:spPr>
                </pic:pic>
              </a:graphicData>
            </a:graphic>
          </wp:inline>
        </w:drawing>
      </w:r>
    </w:p>
    <w:p w14:paraId="74AD5A04">
      <w:pPr>
        <w:bidi w:val="0"/>
        <w:spacing w:line="360" w:lineRule="auto"/>
        <w:jc w:val="center"/>
        <w:rPr>
          <w:rFonts w:hint="default"/>
          <w:b/>
          <w:bCs/>
          <w:color w:val="auto"/>
          <w:lang w:val="en-US" w:eastAsia="zh-CN"/>
        </w:rPr>
      </w:pPr>
      <w:r>
        <w:rPr>
          <w:rFonts w:hint="eastAsia"/>
          <w:b/>
          <w:bCs/>
          <w:color w:val="auto"/>
          <w:lang w:val="en-US" w:eastAsia="zh-CN"/>
        </w:rPr>
        <w:t>图2.1-5  地下水流向图</w:t>
      </w:r>
    </w:p>
    <w:bookmarkEnd w:id="42"/>
    <w:bookmarkEnd w:id="43"/>
    <w:bookmarkEnd w:id="44"/>
    <w:p w14:paraId="45090490">
      <w:pPr>
        <w:pStyle w:val="4"/>
        <w:outlineLvl w:val="1"/>
        <w:rPr>
          <w:rFonts w:hint="default" w:ascii="Times New Roman" w:hAnsi="Times New Roman" w:eastAsia="宋体" w:cs="Times New Roman"/>
          <w:color w:val="auto"/>
          <w:lang w:val="en-US" w:eastAsia="zh-CN"/>
        </w:rPr>
      </w:pPr>
      <w:bookmarkStart w:id="45" w:name="_Toc456352050"/>
      <w:bookmarkStart w:id="46" w:name="_Toc456351924"/>
      <w:bookmarkStart w:id="47" w:name="_Toc462134867"/>
      <w:bookmarkStart w:id="48" w:name="_Toc463685525"/>
      <w:bookmarkStart w:id="49" w:name="_Toc456339272"/>
      <w:bookmarkStart w:id="50" w:name="_Toc702"/>
      <w:r>
        <w:rPr>
          <w:rFonts w:hint="default" w:ascii="Times New Roman" w:hAnsi="Times New Roman" w:cs="Times New Roman"/>
          <w:color w:val="auto"/>
          <w:lang w:val="en-US" w:eastAsia="zh-CN"/>
        </w:rPr>
        <w:t>2.</w:t>
      </w:r>
      <w:r>
        <w:rPr>
          <w:rFonts w:hint="eastAsia" w:cs="Times New Roman"/>
          <w:color w:val="auto"/>
          <w:lang w:val="en-US" w:eastAsia="zh-CN"/>
        </w:rPr>
        <w:t>6</w:t>
      </w:r>
      <w:r>
        <w:rPr>
          <w:rFonts w:hint="default" w:ascii="Times New Roman" w:hAnsi="Times New Roman" w:cs="Times New Roman"/>
          <w:color w:val="auto"/>
        </w:rPr>
        <w:t xml:space="preserve"> 饮用水水源</w:t>
      </w:r>
      <w:r>
        <w:rPr>
          <w:rFonts w:hint="default" w:ascii="Times New Roman" w:hAnsi="Times New Roman" w:cs="Times New Roman"/>
          <w:color w:val="auto"/>
          <w:lang w:val="en-US" w:eastAsia="zh-CN"/>
        </w:rPr>
        <w:t>地的</w:t>
      </w:r>
      <w:r>
        <w:rPr>
          <w:rFonts w:hint="default" w:ascii="Times New Roman" w:hAnsi="Times New Roman" w:cs="Times New Roman"/>
          <w:color w:val="auto"/>
        </w:rPr>
        <w:t>水质</w:t>
      </w:r>
      <w:bookmarkEnd w:id="45"/>
      <w:bookmarkEnd w:id="46"/>
      <w:bookmarkEnd w:id="47"/>
      <w:bookmarkEnd w:id="48"/>
      <w:bookmarkEnd w:id="49"/>
      <w:r>
        <w:rPr>
          <w:rFonts w:hint="default" w:ascii="Times New Roman" w:hAnsi="Times New Roman" w:cs="Times New Roman"/>
          <w:color w:val="auto"/>
          <w:lang w:val="en-US" w:eastAsia="zh-CN"/>
        </w:rPr>
        <w:t>状况调查评价</w:t>
      </w:r>
      <w:bookmarkEnd w:id="50"/>
    </w:p>
    <w:p w14:paraId="61FAA047">
      <w:pPr>
        <w:pStyle w:val="5"/>
        <w:rPr>
          <w:rFonts w:hint="default" w:ascii="Times New Roman" w:hAnsi="Times New Roman" w:cs="Times New Roman"/>
          <w:color w:val="auto"/>
        </w:rPr>
      </w:pPr>
      <w:bookmarkStart w:id="51" w:name="_Toc456339273"/>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水质监测结果</w:t>
      </w:r>
    </w:p>
    <w:p w14:paraId="7A3C7B0D">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本次水质评价采用</w:t>
      </w:r>
      <w:r>
        <w:rPr>
          <w:rFonts w:hint="eastAsia" w:ascii="Times New Roman" w:hAnsi="Times New Roman" w:cs="Times New Roman"/>
          <w:color w:val="auto"/>
          <w:sz w:val="28"/>
          <w:szCs w:val="28"/>
          <w:lang w:val="en-US" w:eastAsia="zh-CN"/>
        </w:rPr>
        <w:t>2016年12月14日凿井单位神木县水利建筑工程有限公司委托陕西工程勘察研究院水土检测中心的监测数据（2016）-P151号，以及西安市灞桥区秦岭生态环境保护局2022年5月</w:t>
      </w:r>
      <w:r>
        <w:rPr>
          <w:rFonts w:hint="default" w:ascii="Times New Roman" w:hAnsi="Times New Roman" w:cs="Times New Roman"/>
          <w:color w:val="auto"/>
          <w:sz w:val="28"/>
          <w:szCs w:val="28"/>
        </w:rPr>
        <w:t>的</w:t>
      </w:r>
      <w:r>
        <w:rPr>
          <w:rFonts w:hint="eastAsia" w:ascii="Times New Roman" w:hAnsi="Times New Roman" w:cs="Times New Roman"/>
          <w:color w:val="auto"/>
          <w:sz w:val="28"/>
          <w:szCs w:val="28"/>
          <w:lang w:val="en-US" w:eastAsia="zh-CN"/>
        </w:rPr>
        <w:t>委托陕西工勘院环境监测有限责任公司的</w:t>
      </w:r>
      <w:r>
        <w:rPr>
          <w:rFonts w:hint="default" w:ascii="Times New Roman" w:hAnsi="Times New Roman" w:cs="Times New Roman"/>
          <w:color w:val="auto"/>
          <w:sz w:val="28"/>
          <w:szCs w:val="28"/>
        </w:rPr>
        <w:t>监测</w:t>
      </w:r>
      <w:r>
        <w:rPr>
          <w:rFonts w:hint="eastAsia" w:ascii="Times New Roman" w:hAnsi="Times New Roman" w:cs="Times New Roman"/>
          <w:color w:val="auto"/>
          <w:sz w:val="28"/>
          <w:szCs w:val="28"/>
          <w:lang w:val="en-US" w:eastAsia="zh-CN"/>
        </w:rPr>
        <w:t>数据</w:t>
      </w:r>
      <w:r>
        <w:rPr>
          <w:rFonts w:hint="default" w:ascii="Times New Roman" w:hAnsi="Times New Roman" w:cs="Times New Roman"/>
          <w:color w:val="auto"/>
          <w:sz w:val="28"/>
          <w:szCs w:val="28"/>
        </w:rPr>
        <w:t>，按照《地下水质量标准》</w:t>
      </w:r>
      <w:r>
        <w:rPr>
          <w:rFonts w:hint="default" w:ascii="Times New Roman" w:hAnsi="Times New Roman" w:cs="Times New Roman"/>
          <w:color w:val="auto"/>
          <w:kern w:val="0"/>
          <w:sz w:val="28"/>
          <w:szCs w:val="28"/>
        </w:rPr>
        <w:t>（GB/T14848-2017）Ⅲ类标准</w:t>
      </w:r>
      <w:r>
        <w:rPr>
          <w:rFonts w:hint="default" w:ascii="Times New Roman" w:hAnsi="Times New Roman" w:cs="Times New Roman"/>
          <w:color w:val="auto"/>
          <w:sz w:val="28"/>
          <w:szCs w:val="28"/>
        </w:rPr>
        <w:t>进行评价。具体的监测结果见下表</w:t>
      </w:r>
      <w:r>
        <w:rPr>
          <w:rFonts w:hint="default"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w:t>
      </w:r>
      <w:bookmarkEnd w:id="51"/>
    </w:p>
    <w:p w14:paraId="77DBBA76">
      <w:pPr>
        <w:spacing w:line="360" w:lineRule="auto"/>
        <w:jc w:val="center"/>
        <w:rPr>
          <w:rFonts w:hint="default" w:ascii="Times New Roman" w:hAnsi="Times New Roman" w:cs="Times New Roman"/>
          <w:b/>
          <w:color w:val="auto"/>
          <w:sz w:val="24"/>
          <w:szCs w:val="24"/>
          <w:lang w:val="en-US" w:eastAsia="zh-CN"/>
        </w:rPr>
      </w:pPr>
      <w:bookmarkStart w:id="52" w:name="_Toc463685531"/>
      <w:bookmarkStart w:id="53" w:name="_Toc462134876"/>
      <w:r>
        <w:rPr>
          <w:rFonts w:hint="default" w:ascii="Times New Roman" w:hAnsi="Times New Roman" w:cs="Times New Roman"/>
          <w:b/>
          <w:color w:val="auto"/>
          <w:sz w:val="24"/>
          <w:szCs w:val="24"/>
        </w:rPr>
        <w:t>表</w:t>
      </w:r>
      <w:r>
        <w:rPr>
          <w:rFonts w:hint="default" w:ascii="Times New Roman" w:hAnsi="Times New Roman" w:cs="Times New Roman"/>
          <w:b/>
          <w:color w:val="auto"/>
          <w:sz w:val="24"/>
          <w:szCs w:val="24"/>
          <w:lang w:val="en-US" w:eastAsia="zh-CN"/>
        </w:rPr>
        <w:t>2.</w:t>
      </w:r>
      <w:r>
        <w:rPr>
          <w:rFonts w:hint="eastAsia" w:ascii="Times New Roman" w:hAnsi="Times New Roman" w:cs="Times New Roman"/>
          <w:b/>
          <w:color w:val="auto"/>
          <w:sz w:val="24"/>
          <w:szCs w:val="24"/>
          <w:lang w:val="en-US" w:eastAsia="zh-CN"/>
        </w:rPr>
        <w:t>6</w:t>
      </w:r>
      <w:r>
        <w:rPr>
          <w:rFonts w:hint="default" w:ascii="Times New Roman" w:hAnsi="Times New Roman" w:cs="Times New Roman"/>
          <w:b/>
          <w:color w:val="auto"/>
          <w:sz w:val="24"/>
          <w:szCs w:val="24"/>
        </w:rPr>
        <w:t>-</w:t>
      </w: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 xml:space="preserve">  供水</w:t>
      </w:r>
      <w:r>
        <w:rPr>
          <w:rFonts w:hint="eastAsia" w:ascii="Times New Roman" w:hAnsi="Times New Roman" w:cs="Times New Roman"/>
          <w:b/>
          <w:color w:val="auto"/>
          <w:sz w:val="24"/>
          <w:szCs w:val="24"/>
          <w:lang w:val="en-US" w:eastAsia="zh-CN"/>
        </w:rPr>
        <w:t>站</w:t>
      </w:r>
      <w:r>
        <w:rPr>
          <w:rFonts w:hint="default" w:ascii="Times New Roman" w:hAnsi="Times New Roman" w:cs="Times New Roman"/>
          <w:b/>
          <w:color w:val="auto"/>
          <w:sz w:val="24"/>
          <w:szCs w:val="24"/>
        </w:rPr>
        <w:t>水质监测表</w:t>
      </w:r>
      <w:bookmarkEnd w:id="52"/>
      <w:bookmarkEnd w:id="53"/>
      <w:r>
        <w:rPr>
          <w:rFonts w:hint="default" w:ascii="Times New Roman" w:hAnsi="Times New Roman" w:cs="Times New Roman"/>
          <w:b/>
          <w:color w:val="auto"/>
          <w:sz w:val="24"/>
          <w:szCs w:val="24"/>
          <w:lang w:val="en-US" w:eastAsia="zh-CN"/>
        </w:rPr>
        <w:t xml:space="preserve">      </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89"/>
        <w:gridCol w:w="2194"/>
        <w:gridCol w:w="1453"/>
        <w:gridCol w:w="928"/>
        <w:gridCol w:w="878"/>
        <w:gridCol w:w="2163"/>
      </w:tblGrid>
      <w:tr w14:paraId="1B28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blHeader/>
          <w:jc w:val="center"/>
        </w:trPr>
        <w:tc>
          <w:tcPr>
            <w:tcW w:w="469" w:type="pct"/>
            <w:vMerge w:val="restart"/>
            <w:noWrap w:val="0"/>
            <w:vAlign w:val="center"/>
          </w:tcPr>
          <w:p w14:paraId="5BEFF74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序号</w:t>
            </w:r>
          </w:p>
        </w:tc>
        <w:tc>
          <w:tcPr>
            <w:tcW w:w="1305" w:type="pct"/>
            <w:vMerge w:val="restart"/>
            <w:noWrap w:val="0"/>
            <w:vAlign w:val="center"/>
          </w:tcPr>
          <w:p w14:paraId="5E01730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水质因子</w:t>
            </w:r>
          </w:p>
        </w:tc>
        <w:tc>
          <w:tcPr>
            <w:tcW w:w="864" w:type="pct"/>
            <w:vMerge w:val="restart"/>
            <w:noWrap w:val="0"/>
            <w:vAlign w:val="center"/>
          </w:tcPr>
          <w:p w14:paraId="70C6766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lang w:val="en-US" w:eastAsia="zh-CN"/>
              </w:rPr>
            </w:pPr>
            <w:r>
              <w:rPr>
                <w:rFonts w:hint="default" w:ascii="Times New Roman" w:hAnsi="Times New Roman" w:cs="Times New Roman" w:eastAsiaTheme="minorEastAsia"/>
                <w:b/>
                <w:color w:val="auto"/>
                <w:kern w:val="0"/>
                <w:sz w:val="21"/>
                <w:szCs w:val="21"/>
                <w:lang w:val="en-US" w:eastAsia="zh-CN"/>
              </w:rPr>
              <w:t>单位</w:t>
            </w:r>
          </w:p>
        </w:tc>
        <w:tc>
          <w:tcPr>
            <w:tcW w:w="1074" w:type="pct"/>
            <w:gridSpan w:val="2"/>
            <w:noWrap w:val="0"/>
            <w:vAlign w:val="center"/>
          </w:tcPr>
          <w:p w14:paraId="48A6AA6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1#、2#井混合样</w:t>
            </w:r>
          </w:p>
        </w:tc>
        <w:tc>
          <w:tcPr>
            <w:tcW w:w="1286" w:type="pct"/>
            <w:vMerge w:val="restart"/>
            <w:noWrap w:val="0"/>
            <w:vAlign w:val="center"/>
          </w:tcPr>
          <w:p w14:paraId="35C218B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lang w:val="en-US" w:eastAsia="zh-CN"/>
              </w:rPr>
              <w:t>限值</w:t>
            </w:r>
          </w:p>
        </w:tc>
      </w:tr>
      <w:tr w14:paraId="0FD4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blHeader/>
          <w:jc w:val="center"/>
        </w:trPr>
        <w:tc>
          <w:tcPr>
            <w:tcW w:w="469" w:type="pct"/>
            <w:vMerge w:val="continue"/>
            <w:noWrap w:val="0"/>
            <w:vAlign w:val="center"/>
          </w:tcPr>
          <w:p w14:paraId="7BAD2A4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rPr>
            </w:pPr>
          </w:p>
        </w:tc>
        <w:tc>
          <w:tcPr>
            <w:tcW w:w="1305" w:type="pct"/>
            <w:vMerge w:val="continue"/>
            <w:noWrap w:val="0"/>
            <w:vAlign w:val="center"/>
          </w:tcPr>
          <w:p w14:paraId="4C7927E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rPr>
            </w:pPr>
          </w:p>
        </w:tc>
        <w:tc>
          <w:tcPr>
            <w:tcW w:w="864" w:type="pct"/>
            <w:vMerge w:val="continue"/>
            <w:noWrap w:val="0"/>
            <w:vAlign w:val="center"/>
          </w:tcPr>
          <w:p w14:paraId="77CB277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lang w:val="en-US" w:eastAsia="zh-CN"/>
              </w:rPr>
            </w:pPr>
          </w:p>
        </w:tc>
        <w:tc>
          <w:tcPr>
            <w:tcW w:w="552" w:type="pct"/>
            <w:noWrap w:val="0"/>
            <w:vAlign w:val="center"/>
          </w:tcPr>
          <w:p w14:paraId="5FC39EA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lang w:val="en-US" w:eastAsia="zh-CN"/>
              </w:rPr>
            </w:pPr>
            <w:r>
              <w:rPr>
                <w:rFonts w:hint="eastAsia" w:ascii="Times New Roman" w:hAnsi="Times New Roman" w:cs="Times New Roman" w:eastAsiaTheme="minorEastAsia"/>
                <w:b/>
                <w:color w:val="auto"/>
                <w:kern w:val="0"/>
                <w:sz w:val="21"/>
                <w:szCs w:val="21"/>
                <w:lang w:val="en-US" w:eastAsia="zh-CN"/>
              </w:rPr>
              <w:t>2016年</w:t>
            </w:r>
          </w:p>
        </w:tc>
        <w:tc>
          <w:tcPr>
            <w:tcW w:w="522" w:type="pct"/>
            <w:noWrap w:val="0"/>
            <w:vAlign w:val="center"/>
          </w:tcPr>
          <w:p w14:paraId="40B21405">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eastAsiaTheme="minorEastAsia"/>
                <w:b/>
                <w:color w:val="auto"/>
                <w:kern w:val="0"/>
                <w:sz w:val="21"/>
                <w:szCs w:val="21"/>
                <w:lang w:val="en-US" w:eastAsia="zh-CN" w:bidi="ar-SA"/>
              </w:rPr>
            </w:pPr>
            <w:r>
              <w:rPr>
                <w:rFonts w:hint="eastAsia" w:ascii="Times New Roman" w:hAnsi="Times New Roman" w:cs="Times New Roman" w:eastAsiaTheme="minorEastAsia"/>
                <w:b/>
                <w:color w:val="auto"/>
                <w:kern w:val="0"/>
                <w:sz w:val="21"/>
                <w:szCs w:val="21"/>
                <w:lang w:val="en-US" w:eastAsia="zh-CN"/>
              </w:rPr>
              <w:t>2022年</w:t>
            </w:r>
          </w:p>
        </w:tc>
        <w:tc>
          <w:tcPr>
            <w:tcW w:w="1286" w:type="pct"/>
            <w:vMerge w:val="continue"/>
            <w:noWrap w:val="0"/>
            <w:vAlign w:val="center"/>
          </w:tcPr>
          <w:p w14:paraId="50E0970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color w:val="auto"/>
                <w:kern w:val="0"/>
                <w:sz w:val="21"/>
                <w:szCs w:val="21"/>
                <w:lang w:val="en-US" w:eastAsia="zh-CN"/>
              </w:rPr>
            </w:pPr>
          </w:p>
        </w:tc>
      </w:tr>
      <w:tr w14:paraId="02D5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39EC40E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1305" w:type="pct"/>
            <w:noWrap w:val="0"/>
            <w:vAlign w:val="center"/>
          </w:tcPr>
          <w:p w14:paraId="623862D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色度</w:t>
            </w:r>
          </w:p>
        </w:tc>
        <w:tc>
          <w:tcPr>
            <w:tcW w:w="864" w:type="pct"/>
            <w:noWrap w:val="0"/>
            <w:vAlign w:val="center"/>
          </w:tcPr>
          <w:p w14:paraId="061A52B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度</w:t>
            </w:r>
          </w:p>
        </w:tc>
        <w:tc>
          <w:tcPr>
            <w:tcW w:w="552" w:type="pct"/>
            <w:noWrap w:val="0"/>
            <w:vAlign w:val="center"/>
          </w:tcPr>
          <w:p w14:paraId="5D12C50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w:t>
            </w:r>
          </w:p>
        </w:tc>
        <w:tc>
          <w:tcPr>
            <w:tcW w:w="522" w:type="pct"/>
            <w:noWrap w:val="0"/>
            <w:vAlign w:val="center"/>
          </w:tcPr>
          <w:p w14:paraId="716F65C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5ND</w:t>
            </w:r>
          </w:p>
        </w:tc>
        <w:tc>
          <w:tcPr>
            <w:tcW w:w="1286" w:type="pct"/>
            <w:noWrap w:val="0"/>
            <w:vAlign w:val="center"/>
          </w:tcPr>
          <w:p w14:paraId="38B78E9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≤15</w:t>
            </w:r>
          </w:p>
        </w:tc>
      </w:tr>
      <w:tr w14:paraId="5601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779B5021">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1305" w:type="pct"/>
            <w:noWrap w:val="0"/>
            <w:vAlign w:val="center"/>
          </w:tcPr>
          <w:p w14:paraId="4D58209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嗅和味</w:t>
            </w:r>
          </w:p>
        </w:tc>
        <w:tc>
          <w:tcPr>
            <w:tcW w:w="864" w:type="pct"/>
            <w:noWrap w:val="0"/>
            <w:vAlign w:val="center"/>
          </w:tcPr>
          <w:p w14:paraId="687F9FC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w:t>
            </w:r>
          </w:p>
        </w:tc>
        <w:tc>
          <w:tcPr>
            <w:tcW w:w="552" w:type="pct"/>
            <w:noWrap w:val="0"/>
            <w:vAlign w:val="center"/>
          </w:tcPr>
          <w:p w14:paraId="11696DD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无</w:t>
            </w:r>
          </w:p>
        </w:tc>
        <w:tc>
          <w:tcPr>
            <w:tcW w:w="522" w:type="pct"/>
            <w:noWrap w:val="0"/>
            <w:vAlign w:val="center"/>
          </w:tcPr>
          <w:p w14:paraId="21BC406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无</w:t>
            </w:r>
          </w:p>
        </w:tc>
        <w:tc>
          <w:tcPr>
            <w:tcW w:w="1286" w:type="pct"/>
            <w:noWrap w:val="0"/>
            <w:vAlign w:val="center"/>
          </w:tcPr>
          <w:p w14:paraId="558177F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无</w:t>
            </w:r>
          </w:p>
        </w:tc>
      </w:tr>
      <w:tr w14:paraId="7658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61CC952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1305" w:type="pct"/>
            <w:noWrap w:val="0"/>
            <w:vAlign w:val="center"/>
          </w:tcPr>
          <w:p w14:paraId="3B48669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浑浊度</w:t>
            </w:r>
          </w:p>
        </w:tc>
        <w:tc>
          <w:tcPr>
            <w:tcW w:w="864" w:type="pct"/>
            <w:noWrap w:val="0"/>
            <w:vAlign w:val="center"/>
          </w:tcPr>
          <w:p w14:paraId="07B5809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NTU</w:t>
            </w:r>
          </w:p>
        </w:tc>
        <w:tc>
          <w:tcPr>
            <w:tcW w:w="552" w:type="pct"/>
            <w:noWrap w:val="0"/>
            <w:vAlign w:val="center"/>
          </w:tcPr>
          <w:p w14:paraId="71F9996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w:t>
            </w:r>
          </w:p>
        </w:tc>
        <w:tc>
          <w:tcPr>
            <w:tcW w:w="522" w:type="pct"/>
            <w:noWrap w:val="0"/>
            <w:vAlign w:val="center"/>
          </w:tcPr>
          <w:p w14:paraId="2261A3B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1ND</w:t>
            </w:r>
          </w:p>
        </w:tc>
        <w:tc>
          <w:tcPr>
            <w:tcW w:w="1286" w:type="pct"/>
            <w:noWrap w:val="0"/>
            <w:vAlign w:val="center"/>
          </w:tcPr>
          <w:p w14:paraId="19DFFF1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≤3</w:t>
            </w:r>
          </w:p>
        </w:tc>
      </w:tr>
      <w:tr w14:paraId="7D82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6B1E29B4">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w:t>
            </w:r>
          </w:p>
        </w:tc>
        <w:tc>
          <w:tcPr>
            <w:tcW w:w="1305" w:type="pct"/>
            <w:noWrap w:val="0"/>
            <w:vAlign w:val="center"/>
          </w:tcPr>
          <w:p w14:paraId="1DDE110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肉眼可见物</w:t>
            </w:r>
          </w:p>
        </w:tc>
        <w:tc>
          <w:tcPr>
            <w:tcW w:w="864" w:type="pct"/>
            <w:noWrap w:val="0"/>
            <w:vAlign w:val="center"/>
          </w:tcPr>
          <w:p w14:paraId="3DA964E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w:t>
            </w:r>
          </w:p>
        </w:tc>
        <w:tc>
          <w:tcPr>
            <w:tcW w:w="552" w:type="pct"/>
            <w:noWrap w:val="0"/>
            <w:vAlign w:val="center"/>
          </w:tcPr>
          <w:p w14:paraId="4FD1544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微量沉淀</w:t>
            </w:r>
          </w:p>
        </w:tc>
        <w:tc>
          <w:tcPr>
            <w:tcW w:w="522" w:type="pct"/>
            <w:noWrap w:val="0"/>
            <w:vAlign w:val="center"/>
          </w:tcPr>
          <w:p w14:paraId="3694DAC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无</w:t>
            </w:r>
          </w:p>
        </w:tc>
        <w:tc>
          <w:tcPr>
            <w:tcW w:w="1286" w:type="pct"/>
            <w:noWrap w:val="0"/>
            <w:vAlign w:val="center"/>
          </w:tcPr>
          <w:p w14:paraId="3F79DA0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无</w:t>
            </w:r>
          </w:p>
        </w:tc>
      </w:tr>
      <w:tr w14:paraId="7D83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407F358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5</w:t>
            </w:r>
          </w:p>
        </w:tc>
        <w:tc>
          <w:tcPr>
            <w:tcW w:w="1305" w:type="pct"/>
            <w:noWrap w:val="0"/>
            <w:vAlign w:val="center"/>
          </w:tcPr>
          <w:p w14:paraId="0F8BB72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pH值</w:t>
            </w:r>
          </w:p>
        </w:tc>
        <w:tc>
          <w:tcPr>
            <w:tcW w:w="864" w:type="pct"/>
            <w:noWrap w:val="0"/>
            <w:vAlign w:val="center"/>
          </w:tcPr>
          <w:p w14:paraId="7B6E607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w:t>
            </w:r>
          </w:p>
        </w:tc>
        <w:tc>
          <w:tcPr>
            <w:tcW w:w="552" w:type="pct"/>
            <w:noWrap w:val="0"/>
            <w:vAlign w:val="center"/>
          </w:tcPr>
          <w:p w14:paraId="4A0EEE3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8.28</w:t>
            </w:r>
          </w:p>
        </w:tc>
        <w:tc>
          <w:tcPr>
            <w:tcW w:w="522" w:type="pct"/>
            <w:noWrap w:val="0"/>
            <w:vAlign w:val="center"/>
          </w:tcPr>
          <w:p w14:paraId="09110A2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7.99</w:t>
            </w:r>
          </w:p>
        </w:tc>
        <w:tc>
          <w:tcPr>
            <w:tcW w:w="1286" w:type="pct"/>
            <w:noWrap w:val="0"/>
            <w:vAlign w:val="center"/>
          </w:tcPr>
          <w:p w14:paraId="0C49ED9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6.5~8.5</w:t>
            </w:r>
          </w:p>
        </w:tc>
      </w:tr>
      <w:tr w14:paraId="77A9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7A00D3A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6</w:t>
            </w:r>
          </w:p>
        </w:tc>
        <w:tc>
          <w:tcPr>
            <w:tcW w:w="1305" w:type="pct"/>
            <w:noWrap w:val="0"/>
            <w:vAlign w:val="center"/>
          </w:tcPr>
          <w:p w14:paraId="0C4743A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总硬度</w:t>
            </w:r>
          </w:p>
        </w:tc>
        <w:tc>
          <w:tcPr>
            <w:tcW w:w="864" w:type="pct"/>
            <w:noWrap w:val="0"/>
            <w:vAlign w:val="center"/>
          </w:tcPr>
          <w:p w14:paraId="6416CEC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4D6F684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50</w:t>
            </w:r>
          </w:p>
        </w:tc>
        <w:tc>
          <w:tcPr>
            <w:tcW w:w="522" w:type="pct"/>
            <w:noWrap w:val="0"/>
            <w:vAlign w:val="center"/>
          </w:tcPr>
          <w:p w14:paraId="11919B1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270</w:t>
            </w:r>
          </w:p>
        </w:tc>
        <w:tc>
          <w:tcPr>
            <w:tcW w:w="1286" w:type="pct"/>
            <w:noWrap w:val="0"/>
            <w:vAlign w:val="center"/>
          </w:tcPr>
          <w:p w14:paraId="2461F4E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≤450</w:t>
            </w:r>
          </w:p>
        </w:tc>
      </w:tr>
      <w:tr w14:paraId="29CA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1B2BE15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7</w:t>
            </w:r>
          </w:p>
        </w:tc>
        <w:tc>
          <w:tcPr>
            <w:tcW w:w="1305" w:type="pct"/>
            <w:noWrap w:val="0"/>
            <w:vAlign w:val="center"/>
          </w:tcPr>
          <w:p w14:paraId="14D56DD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溶解性总固体</w:t>
            </w:r>
          </w:p>
        </w:tc>
        <w:tc>
          <w:tcPr>
            <w:tcW w:w="864" w:type="pct"/>
            <w:noWrap w:val="0"/>
            <w:vAlign w:val="center"/>
          </w:tcPr>
          <w:p w14:paraId="0BC2A62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0FD97AA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192</w:t>
            </w:r>
          </w:p>
        </w:tc>
        <w:tc>
          <w:tcPr>
            <w:tcW w:w="522" w:type="pct"/>
            <w:noWrap w:val="0"/>
            <w:vAlign w:val="center"/>
          </w:tcPr>
          <w:p w14:paraId="0192839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424</w:t>
            </w:r>
          </w:p>
        </w:tc>
        <w:tc>
          <w:tcPr>
            <w:tcW w:w="1286" w:type="pct"/>
            <w:noWrap w:val="0"/>
            <w:vAlign w:val="center"/>
          </w:tcPr>
          <w:p w14:paraId="2A23A11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≤1000</w:t>
            </w:r>
          </w:p>
        </w:tc>
      </w:tr>
      <w:tr w14:paraId="3DB1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191C8CA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8</w:t>
            </w:r>
          </w:p>
        </w:tc>
        <w:tc>
          <w:tcPr>
            <w:tcW w:w="1305" w:type="pct"/>
            <w:noWrap w:val="0"/>
            <w:vAlign w:val="center"/>
          </w:tcPr>
          <w:p w14:paraId="0C040AB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硫酸盐</w:t>
            </w:r>
          </w:p>
        </w:tc>
        <w:tc>
          <w:tcPr>
            <w:tcW w:w="864" w:type="pct"/>
            <w:noWrap w:val="0"/>
            <w:vAlign w:val="center"/>
          </w:tcPr>
          <w:p w14:paraId="7401B3E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097822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2.9</w:t>
            </w:r>
          </w:p>
        </w:tc>
        <w:tc>
          <w:tcPr>
            <w:tcW w:w="522" w:type="pct"/>
            <w:noWrap w:val="0"/>
            <w:vAlign w:val="center"/>
          </w:tcPr>
          <w:p w14:paraId="1394969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24</w:t>
            </w:r>
          </w:p>
        </w:tc>
        <w:tc>
          <w:tcPr>
            <w:tcW w:w="1286" w:type="pct"/>
            <w:noWrap w:val="0"/>
            <w:vAlign w:val="center"/>
          </w:tcPr>
          <w:p w14:paraId="6D96F4A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≤250</w:t>
            </w:r>
          </w:p>
        </w:tc>
      </w:tr>
      <w:tr w14:paraId="2135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69" w:type="pct"/>
            <w:noWrap w:val="0"/>
            <w:vAlign w:val="center"/>
          </w:tcPr>
          <w:p w14:paraId="75CAA04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9</w:t>
            </w:r>
          </w:p>
        </w:tc>
        <w:tc>
          <w:tcPr>
            <w:tcW w:w="1305" w:type="pct"/>
            <w:noWrap w:val="0"/>
            <w:vAlign w:val="center"/>
          </w:tcPr>
          <w:p w14:paraId="4B9E951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氯化物</w:t>
            </w:r>
          </w:p>
        </w:tc>
        <w:tc>
          <w:tcPr>
            <w:tcW w:w="864" w:type="pct"/>
            <w:noWrap w:val="0"/>
            <w:vAlign w:val="center"/>
          </w:tcPr>
          <w:p w14:paraId="28A9F89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09E8200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14.2</w:t>
            </w:r>
          </w:p>
        </w:tc>
        <w:tc>
          <w:tcPr>
            <w:tcW w:w="522" w:type="pct"/>
            <w:noWrap w:val="0"/>
            <w:vAlign w:val="center"/>
          </w:tcPr>
          <w:p w14:paraId="7DC9F05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18</w:t>
            </w:r>
          </w:p>
        </w:tc>
        <w:tc>
          <w:tcPr>
            <w:tcW w:w="1286" w:type="pct"/>
            <w:noWrap w:val="0"/>
            <w:vAlign w:val="center"/>
          </w:tcPr>
          <w:p w14:paraId="5E557A0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≤250</w:t>
            </w:r>
          </w:p>
        </w:tc>
      </w:tr>
      <w:tr w14:paraId="7D4D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542D8B0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10</w:t>
            </w:r>
          </w:p>
        </w:tc>
        <w:tc>
          <w:tcPr>
            <w:tcW w:w="1305" w:type="pct"/>
            <w:noWrap w:val="0"/>
            <w:vAlign w:val="center"/>
          </w:tcPr>
          <w:p w14:paraId="40D9AA6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铁</w:t>
            </w:r>
          </w:p>
        </w:tc>
        <w:tc>
          <w:tcPr>
            <w:tcW w:w="864" w:type="pct"/>
            <w:noWrap w:val="0"/>
            <w:vAlign w:val="center"/>
          </w:tcPr>
          <w:p w14:paraId="1DD97BD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ug/L</w:t>
            </w:r>
          </w:p>
        </w:tc>
        <w:tc>
          <w:tcPr>
            <w:tcW w:w="552" w:type="pct"/>
            <w:noWrap w:val="0"/>
            <w:vAlign w:val="center"/>
          </w:tcPr>
          <w:p w14:paraId="3F022B8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＜80</w:t>
            </w:r>
          </w:p>
        </w:tc>
        <w:tc>
          <w:tcPr>
            <w:tcW w:w="522" w:type="pct"/>
            <w:noWrap w:val="0"/>
            <w:vAlign w:val="center"/>
          </w:tcPr>
          <w:p w14:paraId="300F013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＜50</w:t>
            </w:r>
          </w:p>
        </w:tc>
        <w:tc>
          <w:tcPr>
            <w:tcW w:w="1286" w:type="pct"/>
            <w:noWrap w:val="0"/>
            <w:vAlign w:val="center"/>
          </w:tcPr>
          <w:p w14:paraId="18D1335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≤300</w:t>
            </w:r>
          </w:p>
        </w:tc>
      </w:tr>
      <w:tr w14:paraId="7959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17FB32B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11</w:t>
            </w:r>
          </w:p>
        </w:tc>
        <w:tc>
          <w:tcPr>
            <w:tcW w:w="1305" w:type="pct"/>
            <w:noWrap w:val="0"/>
            <w:vAlign w:val="center"/>
          </w:tcPr>
          <w:p w14:paraId="66F7B05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锰</w:t>
            </w:r>
          </w:p>
        </w:tc>
        <w:tc>
          <w:tcPr>
            <w:tcW w:w="864" w:type="pct"/>
            <w:noWrap w:val="0"/>
            <w:vAlign w:val="center"/>
          </w:tcPr>
          <w:p w14:paraId="450F854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ug/L</w:t>
            </w:r>
          </w:p>
        </w:tc>
        <w:tc>
          <w:tcPr>
            <w:tcW w:w="552" w:type="pct"/>
            <w:noWrap w:val="0"/>
            <w:vAlign w:val="center"/>
          </w:tcPr>
          <w:p w14:paraId="3FBE6BD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＜50</w:t>
            </w:r>
          </w:p>
        </w:tc>
        <w:tc>
          <w:tcPr>
            <w:tcW w:w="522" w:type="pct"/>
            <w:noWrap w:val="0"/>
            <w:vAlign w:val="center"/>
          </w:tcPr>
          <w:p w14:paraId="70F6CCC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＜50</w:t>
            </w:r>
          </w:p>
        </w:tc>
        <w:tc>
          <w:tcPr>
            <w:tcW w:w="1286" w:type="pct"/>
            <w:noWrap w:val="0"/>
            <w:vAlign w:val="center"/>
          </w:tcPr>
          <w:p w14:paraId="1CD19BB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≤100</w:t>
            </w:r>
          </w:p>
        </w:tc>
      </w:tr>
      <w:tr w14:paraId="336C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5151C03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12</w:t>
            </w:r>
          </w:p>
        </w:tc>
        <w:tc>
          <w:tcPr>
            <w:tcW w:w="1305" w:type="pct"/>
            <w:noWrap w:val="0"/>
            <w:vAlign w:val="center"/>
          </w:tcPr>
          <w:p w14:paraId="1981C37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铜</w:t>
            </w:r>
          </w:p>
        </w:tc>
        <w:tc>
          <w:tcPr>
            <w:tcW w:w="864" w:type="pct"/>
            <w:noWrap w:val="0"/>
            <w:vAlign w:val="center"/>
          </w:tcPr>
          <w:p w14:paraId="739503D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ug/L</w:t>
            </w:r>
          </w:p>
        </w:tc>
        <w:tc>
          <w:tcPr>
            <w:tcW w:w="552" w:type="pct"/>
            <w:noWrap w:val="0"/>
            <w:vAlign w:val="center"/>
          </w:tcPr>
          <w:p w14:paraId="41710CE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22" w:type="pct"/>
            <w:noWrap w:val="0"/>
            <w:vAlign w:val="center"/>
          </w:tcPr>
          <w:p w14:paraId="2B5D8F7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w:t>
            </w:r>
          </w:p>
        </w:tc>
        <w:tc>
          <w:tcPr>
            <w:tcW w:w="1286" w:type="pct"/>
            <w:noWrap w:val="0"/>
            <w:vAlign w:val="center"/>
          </w:tcPr>
          <w:p w14:paraId="284FF40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≤1000</w:t>
            </w:r>
          </w:p>
        </w:tc>
      </w:tr>
      <w:tr w14:paraId="6BF9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4E80E97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13</w:t>
            </w:r>
          </w:p>
        </w:tc>
        <w:tc>
          <w:tcPr>
            <w:tcW w:w="1305" w:type="pct"/>
            <w:noWrap w:val="0"/>
            <w:vAlign w:val="center"/>
          </w:tcPr>
          <w:p w14:paraId="53EBCC3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锌</w:t>
            </w:r>
          </w:p>
        </w:tc>
        <w:tc>
          <w:tcPr>
            <w:tcW w:w="864" w:type="pct"/>
            <w:noWrap w:val="0"/>
            <w:vAlign w:val="center"/>
          </w:tcPr>
          <w:p w14:paraId="10F478D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ug/L</w:t>
            </w:r>
          </w:p>
        </w:tc>
        <w:tc>
          <w:tcPr>
            <w:tcW w:w="552" w:type="pct"/>
            <w:noWrap w:val="0"/>
            <w:vAlign w:val="center"/>
          </w:tcPr>
          <w:p w14:paraId="243C3B7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22" w:type="pct"/>
            <w:noWrap w:val="0"/>
            <w:vAlign w:val="center"/>
          </w:tcPr>
          <w:p w14:paraId="2C81225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＜5</w:t>
            </w:r>
          </w:p>
        </w:tc>
        <w:tc>
          <w:tcPr>
            <w:tcW w:w="1286" w:type="pct"/>
            <w:noWrap w:val="0"/>
            <w:vAlign w:val="center"/>
          </w:tcPr>
          <w:p w14:paraId="5206771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≤1000</w:t>
            </w:r>
          </w:p>
        </w:tc>
      </w:tr>
      <w:tr w14:paraId="73E3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7B79378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14</w:t>
            </w:r>
          </w:p>
        </w:tc>
        <w:tc>
          <w:tcPr>
            <w:tcW w:w="1305" w:type="pct"/>
            <w:noWrap w:val="0"/>
            <w:vAlign w:val="center"/>
          </w:tcPr>
          <w:p w14:paraId="60EE4ED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铝</w:t>
            </w:r>
          </w:p>
        </w:tc>
        <w:tc>
          <w:tcPr>
            <w:tcW w:w="864" w:type="pct"/>
            <w:noWrap w:val="0"/>
            <w:vAlign w:val="center"/>
          </w:tcPr>
          <w:p w14:paraId="7DAA31B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ug/L</w:t>
            </w:r>
          </w:p>
        </w:tc>
        <w:tc>
          <w:tcPr>
            <w:tcW w:w="552" w:type="pct"/>
            <w:noWrap w:val="0"/>
            <w:vAlign w:val="center"/>
          </w:tcPr>
          <w:p w14:paraId="473674B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22" w:type="pct"/>
            <w:noWrap w:val="0"/>
            <w:vAlign w:val="center"/>
          </w:tcPr>
          <w:p w14:paraId="2AD6EE2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w:t>
            </w:r>
          </w:p>
        </w:tc>
        <w:tc>
          <w:tcPr>
            <w:tcW w:w="1286" w:type="pct"/>
            <w:noWrap w:val="0"/>
            <w:vAlign w:val="center"/>
          </w:tcPr>
          <w:p w14:paraId="1415A79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≤200</w:t>
            </w:r>
          </w:p>
        </w:tc>
      </w:tr>
      <w:tr w14:paraId="4999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691C364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15</w:t>
            </w:r>
          </w:p>
        </w:tc>
        <w:tc>
          <w:tcPr>
            <w:tcW w:w="1305" w:type="pct"/>
            <w:noWrap w:val="0"/>
            <w:vAlign w:val="center"/>
          </w:tcPr>
          <w:p w14:paraId="48FC876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挥发性酚类</w:t>
            </w:r>
          </w:p>
        </w:tc>
        <w:tc>
          <w:tcPr>
            <w:tcW w:w="864" w:type="pct"/>
            <w:noWrap w:val="0"/>
            <w:vAlign w:val="center"/>
          </w:tcPr>
          <w:p w14:paraId="69F1E62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6EAE658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＜0.001</w:t>
            </w:r>
          </w:p>
        </w:tc>
        <w:tc>
          <w:tcPr>
            <w:tcW w:w="522" w:type="pct"/>
            <w:noWrap w:val="0"/>
            <w:vAlign w:val="center"/>
          </w:tcPr>
          <w:p w14:paraId="0BB83EB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＜0.001</w:t>
            </w:r>
          </w:p>
        </w:tc>
        <w:tc>
          <w:tcPr>
            <w:tcW w:w="1286" w:type="pct"/>
            <w:noWrap w:val="0"/>
            <w:vAlign w:val="center"/>
          </w:tcPr>
          <w:p w14:paraId="01F4ABF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≤0.002</w:t>
            </w:r>
          </w:p>
        </w:tc>
      </w:tr>
      <w:tr w14:paraId="45FF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564381A4">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16</w:t>
            </w:r>
          </w:p>
        </w:tc>
        <w:tc>
          <w:tcPr>
            <w:tcW w:w="1305" w:type="pct"/>
            <w:noWrap w:val="0"/>
            <w:vAlign w:val="center"/>
          </w:tcPr>
          <w:p w14:paraId="7064BFA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阴离子表面活性剂</w:t>
            </w:r>
          </w:p>
        </w:tc>
        <w:tc>
          <w:tcPr>
            <w:tcW w:w="864" w:type="pct"/>
            <w:noWrap w:val="0"/>
            <w:vAlign w:val="center"/>
          </w:tcPr>
          <w:p w14:paraId="263183E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28B6597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22" w:type="pct"/>
            <w:noWrap w:val="0"/>
            <w:vAlign w:val="center"/>
          </w:tcPr>
          <w:p w14:paraId="0A1AF59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0.05ND</w:t>
            </w:r>
          </w:p>
        </w:tc>
        <w:tc>
          <w:tcPr>
            <w:tcW w:w="1286" w:type="pct"/>
            <w:noWrap w:val="0"/>
            <w:vAlign w:val="center"/>
          </w:tcPr>
          <w:p w14:paraId="3DE02BF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≤0.3</w:t>
            </w:r>
          </w:p>
        </w:tc>
      </w:tr>
      <w:tr w14:paraId="75C0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41B700F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17</w:t>
            </w:r>
          </w:p>
        </w:tc>
        <w:tc>
          <w:tcPr>
            <w:tcW w:w="1305" w:type="pct"/>
            <w:noWrap w:val="0"/>
            <w:vAlign w:val="center"/>
          </w:tcPr>
          <w:p w14:paraId="0E906C54">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耗氧量</w:t>
            </w:r>
          </w:p>
        </w:tc>
        <w:tc>
          <w:tcPr>
            <w:tcW w:w="864" w:type="pct"/>
            <w:noWrap w:val="0"/>
            <w:vAlign w:val="center"/>
          </w:tcPr>
          <w:p w14:paraId="68C4A07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6A8EA7E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2.5</w:t>
            </w:r>
          </w:p>
        </w:tc>
        <w:tc>
          <w:tcPr>
            <w:tcW w:w="522" w:type="pct"/>
            <w:noWrap w:val="0"/>
            <w:vAlign w:val="center"/>
          </w:tcPr>
          <w:p w14:paraId="46F1F54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0.16</w:t>
            </w:r>
          </w:p>
        </w:tc>
        <w:tc>
          <w:tcPr>
            <w:tcW w:w="1286" w:type="pct"/>
            <w:noWrap w:val="0"/>
            <w:vAlign w:val="center"/>
          </w:tcPr>
          <w:p w14:paraId="786857D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≤3.0</w:t>
            </w:r>
          </w:p>
        </w:tc>
      </w:tr>
      <w:tr w14:paraId="48C1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265F41F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18</w:t>
            </w:r>
          </w:p>
        </w:tc>
        <w:tc>
          <w:tcPr>
            <w:tcW w:w="1305" w:type="pct"/>
            <w:noWrap w:val="0"/>
            <w:vAlign w:val="center"/>
          </w:tcPr>
          <w:p w14:paraId="5C002AE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氨氮</w:t>
            </w:r>
          </w:p>
        </w:tc>
        <w:tc>
          <w:tcPr>
            <w:tcW w:w="864" w:type="pct"/>
            <w:noWrap w:val="0"/>
            <w:vAlign w:val="center"/>
          </w:tcPr>
          <w:p w14:paraId="737C0CC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579D75C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22" w:type="pct"/>
            <w:noWrap w:val="0"/>
            <w:vAlign w:val="center"/>
          </w:tcPr>
          <w:p w14:paraId="51B4F6B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0.02ND</w:t>
            </w:r>
          </w:p>
        </w:tc>
        <w:tc>
          <w:tcPr>
            <w:tcW w:w="1286" w:type="pct"/>
            <w:noWrap w:val="0"/>
            <w:vAlign w:val="center"/>
          </w:tcPr>
          <w:p w14:paraId="7A9898F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≤0.50</w:t>
            </w:r>
          </w:p>
        </w:tc>
      </w:tr>
      <w:tr w14:paraId="50A0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72FB998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19</w:t>
            </w:r>
          </w:p>
        </w:tc>
        <w:tc>
          <w:tcPr>
            <w:tcW w:w="1305" w:type="pct"/>
            <w:noWrap w:val="0"/>
            <w:vAlign w:val="center"/>
          </w:tcPr>
          <w:p w14:paraId="150EE39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总大肠菌群</w:t>
            </w:r>
          </w:p>
        </w:tc>
        <w:tc>
          <w:tcPr>
            <w:tcW w:w="864" w:type="pct"/>
            <w:noWrap w:val="0"/>
            <w:vAlign w:val="center"/>
          </w:tcPr>
          <w:p w14:paraId="4A6FC18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MPN/100mL</w:t>
            </w:r>
          </w:p>
        </w:tc>
        <w:tc>
          <w:tcPr>
            <w:tcW w:w="552" w:type="pct"/>
            <w:noWrap w:val="0"/>
            <w:vAlign w:val="center"/>
          </w:tcPr>
          <w:p w14:paraId="0130034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未检出</w:t>
            </w:r>
          </w:p>
        </w:tc>
        <w:tc>
          <w:tcPr>
            <w:tcW w:w="522" w:type="pct"/>
            <w:noWrap w:val="0"/>
            <w:vAlign w:val="center"/>
          </w:tcPr>
          <w:p w14:paraId="0354FF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未检出</w:t>
            </w:r>
          </w:p>
        </w:tc>
        <w:tc>
          <w:tcPr>
            <w:tcW w:w="1286" w:type="pct"/>
            <w:noWrap w:val="0"/>
            <w:vAlign w:val="center"/>
          </w:tcPr>
          <w:p w14:paraId="4091AFE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≤3.0</w:t>
            </w:r>
          </w:p>
        </w:tc>
      </w:tr>
      <w:tr w14:paraId="6F31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2E878AF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20</w:t>
            </w:r>
          </w:p>
        </w:tc>
        <w:tc>
          <w:tcPr>
            <w:tcW w:w="1305" w:type="pct"/>
            <w:noWrap w:val="0"/>
            <w:vAlign w:val="center"/>
          </w:tcPr>
          <w:p w14:paraId="0896963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细菌总数</w:t>
            </w:r>
          </w:p>
        </w:tc>
        <w:tc>
          <w:tcPr>
            <w:tcW w:w="864" w:type="pct"/>
            <w:noWrap w:val="0"/>
            <w:vAlign w:val="center"/>
          </w:tcPr>
          <w:p w14:paraId="428B778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CFU/mL</w:t>
            </w:r>
          </w:p>
        </w:tc>
        <w:tc>
          <w:tcPr>
            <w:tcW w:w="552" w:type="pct"/>
            <w:noWrap w:val="0"/>
            <w:vAlign w:val="center"/>
          </w:tcPr>
          <w:p w14:paraId="570FA82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35</w:t>
            </w:r>
          </w:p>
        </w:tc>
        <w:tc>
          <w:tcPr>
            <w:tcW w:w="522" w:type="pct"/>
            <w:noWrap w:val="0"/>
            <w:vAlign w:val="center"/>
          </w:tcPr>
          <w:p w14:paraId="0BDE9AB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未检出</w:t>
            </w:r>
          </w:p>
        </w:tc>
        <w:tc>
          <w:tcPr>
            <w:tcW w:w="1286" w:type="pct"/>
            <w:noWrap w:val="0"/>
            <w:vAlign w:val="center"/>
          </w:tcPr>
          <w:p w14:paraId="35A404B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≤100</w:t>
            </w:r>
          </w:p>
        </w:tc>
      </w:tr>
      <w:tr w14:paraId="3254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60EA5D42">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21</w:t>
            </w:r>
          </w:p>
        </w:tc>
        <w:tc>
          <w:tcPr>
            <w:tcW w:w="1305" w:type="pct"/>
            <w:noWrap w:val="0"/>
            <w:vAlign w:val="center"/>
          </w:tcPr>
          <w:p w14:paraId="7600C5B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硝酸盐</w:t>
            </w:r>
          </w:p>
        </w:tc>
        <w:tc>
          <w:tcPr>
            <w:tcW w:w="864" w:type="pct"/>
            <w:noWrap w:val="0"/>
            <w:vAlign w:val="center"/>
          </w:tcPr>
          <w:p w14:paraId="66114EC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596E67D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＜2.5</w:t>
            </w:r>
          </w:p>
        </w:tc>
        <w:tc>
          <w:tcPr>
            <w:tcW w:w="522" w:type="pct"/>
            <w:noWrap w:val="0"/>
            <w:vAlign w:val="center"/>
          </w:tcPr>
          <w:p w14:paraId="7CFFBF7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4.7</w:t>
            </w:r>
          </w:p>
        </w:tc>
        <w:tc>
          <w:tcPr>
            <w:tcW w:w="1286" w:type="pct"/>
            <w:noWrap w:val="0"/>
            <w:vAlign w:val="center"/>
          </w:tcPr>
          <w:p w14:paraId="009CB50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≤20.0</w:t>
            </w:r>
          </w:p>
        </w:tc>
      </w:tr>
      <w:tr w14:paraId="3465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69" w:type="pct"/>
            <w:noWrap w:val="0"/>
            <w:vAlign w:val="center"/>
          </w:tcPr>
          <w:p w14:paraId="088A473C">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22</w:t>
            </w:r>
          </w:p>
        </w:tc>
        <w:tc>
          <w:tcPr>
            <w:tcW w:w="1305" w:type="pct"/>
            <w:noWrap w:val="0"/>
            <w:vAlign w:val="center"/>
          </w:tcPr>
          <w:p w14:paraId="08C0036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氰化物</w:t>
            </w:r>
          </w:p>
        </w:tc>
        <w:tc>
          <w:tcPr>
            <w:tcW w:w="864" w:type="pct"/>
            <w:noWrap w:val="0"/>
            <w:vAlign w:val="center"/>
          </w:tcPr>
          <w:p w14:paraId="31B8A80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5353807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＜0.0008</w:t>
            </w:r>
          </w:p>
        </w:tc>
        <w:tc>
          <w:tcPr>
            <w:tcW w:w="522" w:type="pct"/>
            <w:noWrap w:val="0"/>
            <w:vAlign w:val="center"/>
          </w:tcPr>
          <w:p w14:paraId="39F5098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0.00</w:t>
            </w:r>
            <w:r>
              <w:rPr>
                <w:rFonts w:hint="eastAsia" w:ascii="Times New Roman" w:hAnsi="Times New Roman"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kern w:val="0"/>
                <w:sz w:val="21"/>
                <w:szCs w:val="21"/>
                <w:lang w:val="en-US" w:eastAsia="zh-CN"/>
              </w:rPr>
              <w:t>ND</w:t>
            </w:r>
          </w:p>
        </w:tc>
        <w:tc>
          <w:tcPr>
            <w:tcW w:w="1286" w:type="pct"/>
            <w:noWrap w:val="0"/>
            <w:vAlign w:val="center"/>
          </w:tcPr>
          <w:p w14:paraId="58136D8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≤0.05</w:t>
            </w:r>
          </w:p>
        </w:tc>
      </w:tr>
      <w:tr w14:paraId="0D27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0E093D84">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23</w:t>
            </w:r>
          </w:p>
        </w:tc>
        <w:tc>
          <w:tcPr>
            <w:tcW w:w="1305" w:type="pct"/>
            <w:noWrap w:val="0"/>
            <w:vAlign w:val="center"/>
          </w:tcPr>
          <w:p w14:paraId="3CA1C5C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氟化物</w:t>
            </w:r>
          </w:p>
        </w:tc>
        <w:tc>
          <w:tcPr>
            <w:tcW w:w="864" w:type="pct"/>
            <w:noWrap w:val="0"/>
            <w:vAlign w:val="center"/>
          </w:tcPr>
          <w:p w14:paraId="4BAC5A6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mg/L</w:t>
            </w:r>
          </w:p>
        </w:tc>
        <w:tc>
          <w:tcPr>
            <w:tcW w:w="552" w:type="pct"/>
            <w:noWrap w:val="0"/>
            <w:vAlign w:val="center"/>
          </w:tcPr>
          <w:p w14:paraId="20338B0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0.32</w:t>
            </w:r>
          </w:p>
        </w:tc>
        <w:tc>
          <w:tcPr>
            <w:tcW w:w="522" w:type="pct"/>
            <w:noWrap w:val="0"/>
            <w:vAlign w:val="center"/>
          </w:tcPr>
          <w:p w14:paraId="4648CF8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w:t>
            </w:r>
            <w:r>
              <w:rPr>
                <w:rFonts w:hint="eastAsia" w:ascii="Times New Roman" w:hAnsi="Times New Roman" w:cs="Times New Roman" w:eastAsiaTheme="minorEastAsia"/>
                <w:color w:val="auto"/>
                <w:kern w:val="0"/>
                <w:sz w:val="21"/>
                <w:szCs w:val="21"/>
                <w:lang w:val="en-US" w:eastAsia="zh-CN"/>
              </w:rPr>
              <w:t>26</w:t>
            </w:r>
          </w:p>
        </w:tc>
        <w:tc>
          <w:tcPr>
            <w:tcW w:w="1286" w:type="pct"/>
            <w:noWrap w:val="0"/>
            <w:vAlign w:val="center"/>
          </w:tcPr>
          <w:p w14:paraId="791DC02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≤1.0</w:t>
            </w:r>
          </w:p>
        </w:tc>
      </w:tr>
      <w:tr w14:paraId="4158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720C4688">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24</w:t>
            </w:r>
          </w:p>
        </w:tc>
        <w:tc>
          <w:tcPr>
            <w:tcW w:w="1305" w:type="pct"/>
            <w:noWrap w:val="0"/>
            <w:vAlign w:val="center"/>
          </w:tcPr>
          <w:p w14:paraId="3FB582B1">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汞</w:t>
            </w:r>
          </w:p>
        </w:tc>
        <w:tc>
          <w:tcPr>
            <w:tcW w:w="864" w:type="pct"/>
            <w:noWrap w:val="0"/>
            <w:vAlign w:val="center"/>
          </w:tcPr>
          <w:p w14:paraId="10FBF4E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ug/L</w:t>
            </w:r>
          </w:p>
        </w:tc>
        <w:tc>
          <w:tcPr>
            <w:tcW w:w="552" w:type="pct"/>
            <w:noWrap w:val="0"/>
            <w:vAlign w:val="center"/>
          </w:tcPr>
          <w:p w14:paraId="6C6A962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＜0.05</w:t>
            </w:r>
          </w:p>
        </w:tc>
        <w:tc>
          <w:tcPr>
            <w:tcW w:w="522" w:type="pct"/>
            <w:noWrap w:val="0"/>
            <w:vAlign w:val="center"/>
          </w:tcPr>
          <w:p w14:paraId="7C576C1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＜0.05</w:t>
            </w:r>
          </w:p>
        </w:tc>
        <w:tc>
          <w:tcPr>
            <w:tcW w:w="1286" w:type="pct"/>
            <w:noWrap w:val="0"/>
            <w:vAlign w:val="center"/>
          </w:tcPr>
          <w:p w14:paraId="14F5CA6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≤1</w:t>
            </w:r>
          </w:p>
        </w:tc>
      </w:tr>
      <w:tr w14:paraId="4239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09135436">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25</w:t>
            </w:r>
          </w:p>
        </w:tc>
        <w:tc>
          <w:tcPr>
            <w:tcW w:w="1305" w:type="pct"/>
            <w:noWrap w:val="0"/>
            <w:vAlign w:val="center"/>
          </w:tcPr>
          <w:p w14:paraId="263680C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砷</w:t>
            </w:r>
          </w:p>
        </w:tc>
        <w:tc>
          <w:tcPr>
            <w:tcW w:w="864" w:type="pct"/>
            <w:noWrap w:val="0"/>
            <w:vAlign w:val="center"/>
          </w:tcPr>
          <w:p w14:paraId="36282D8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ug/L</w:t>
            </w:r>
          </w:p>
        </w:tc>
        <w:tc>
          <w:tcPr>
            <w:tcW w:w="552" w:type="pct"/>
            <w:noWrap w:val="0"/>
            <w:vAlign w:val="center"/>
          </w:tcPr>
          <w:p w14:paraId="067D873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0.045</w:t>
            </w:r>
          </w:p>
        </w:tc>
        <w:tc>
          <w:tcPr>
            <w:tcW w:w="522" w:type="pct"/>
            <w:noWrap w:val="0"/>
            <w:vAlign w:val="center"/>
          </w:tcPr>
          <w:p w14:paraId="54AA0D3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1.8</w:t>
            </w:r>
          </w:p>
        </w:tc>
        <w:tc>
          <w:tcPr>
            <w:tcW w:w="1286" w:type="pct"/>
            <w:noWrap w:val="0"/>
            <w:vAlign w:val="center"/>
          </w:tcPr>
          <w:p w14:paraId="697CEF6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≤10</w:t>
            </w:r>
          </w:p>
        </w:tc>
      </w:tr>
      <w:tr w14:paraId="09C3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50B4209D">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26</w:t>
            </w:r>
          </w:p>
        </w:tc>
        <w:tc>
          <w:tcPr>
            <w:tcW w:w="1305" w:type="pct"/>
            <w:noWrap w:val="0"/>
            <w:vAlign w:val="center"/>
          </w:tcPr>
          <w:p w14:paraId="73D64C4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硒</w:t>
            </w:r>
          </w:p>
        </w:tc>
        <w:tc>
          <w:tcPr>
            <w:tcW w:w="864" w:type="pct"/>
            <w:noWrap w:val="0"/>
            <w:vAlign w:val="center"/>
          </w:tcPr>
          <w:p w14:paraId="50B25A5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ug/L</w:t>
            </w:r>
          </w:p>
        </w:tc>
        <w:tc>
          <w:tcPr>
            <w:tcW w:w="552" w:type="pct"/>
            <w:noWrap w:val="0"/>
            <w:vAlign w:val="center"/>
          </w:tcPr>
          <w:p w14:paraId="3DF70BE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22" w:type="pct"/>
            <w:noWrap w:val="0"/>
            <w:vAlign w:val="center"/>
          </w:tcPr>
          <w:p w14:paraId="5272A1B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0.4ND</w:t>
            </w:r>
          </w:p>
        </w:tc>
        <w:tc>
          <w:tcPr>
            <w:tcW w:w="1286" w:type="pct"/>
            <w:noWrap w:val="0"/>
            <w:vAlign w:val="center"/>
          </w:tcPr>
          <w:p w14:paraId="2514D0C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≤10</w:t>
            </w:r>
          </w:p>
        </w:tc>
      </w:tr>
      <w:tr w14:paraId="6835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5685AE50">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27</w:t>
            </w:r>
          </w:p>
        </w:tc>
        <w:tc>
          <w:tcPr>
            <w:tcW w:w="1305" w:type="pct"/>
            <w:noWrap w:val="0"/>
            <w:vAlign w:val="center"/>
          </w:tcPr>
          <w:p w14:paraId="7739738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镉</w:t>
            </w:r>
          </w:p>
        </w:tc>
        <w:tc>
          <w:tcPr>
            <w:tcW w:w="864" w:type="pct"/>
            <w:noWrap w:val="0"/>
            <w:vAlign w:val="center"/>
          </w:tcPr>
          <w:p w14:paraId="3B1930C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ug/L</w:t>
            </w:r>
          </w:p>
        </w:tc>
        <w:tc>
          <w:tcPr>
            <w:tcW w:w="552" w:type="pct"/>
            <w:noWrap w:val="0"/>
            <w:vAlign w:val="center"/>
          </w:tcPr>
          <w:p w14:paraId="503F400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＜0.5</w:t>
            </w:r>
          </w:p>
        </w:tc>
        <w:tc>
          <w:tcPr>
            <w:tcW w:w="522" w:type="pct"/>
            <w:noWrap w:val="0"/>
            <w:vAlign w:val="center"/>
          </w:tcPr>
          <w:p w14:paraId="5DD31EC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＜0.5</w:t>
            </w:r>
          </w:p>
        </w:tc>
        <w:tc>
          <w:tcPr>
            <w:tcW w:w="1286" w:type="pct"/>
            <w:noWrap w:val="0"/>
            <w:vAlign w:val="center"/>
          </w:tcPr>
          <w:p w14:paraId="76CBD35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≤5</w:t>
            </w:r>
          </w:p>
        </w:tc>
      </w:tr>
      <w:tr w14:paraId="5234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21618593">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28</w:t>
            </w:r>
          </w:p>
        </w:tc>
        <w:tc>
          <w:tcPr>
            <w:tcW w:w="1305" w:type="pct"/>
            <w:noWrap w:val="0"/>
            <w:vAlign w:val="center"/>
          </w:tcPr>
          <w:p w14:paraId="4632D59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六价铬</w:t>
            </w:r>
          </w:p>
        </w:tc>
        <w:tc>
          <w:tcPr>
            <w:tcW w:w="864" w:type="pct"/>
            <w:noWrap w:val="0"/>
            <w:vAlign w:val="center"/>
          </w:tcPr>
          <w:p w14:paraId="2B4651E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noWrap w:val="0"/>
            <w:vAlign w:val="center"/>
          </w:tcPr>
          <w:p w14:paraId="6A5BCA2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＜0.005</w:t>
            </w:r>
          </w:p>
        </w:tc>
        <w:tc>
          <w:tcPr>
            <w:tcW w:w="522" w:type="pct"/>
            <w:noWrap w:val="0"/>
            <w:vAlign w:val="center"/>
          </w:tcPr>
          <w:p w14:paraId="6221C56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＜0.004</w:t>
            </w:r>
          </w:p>
        </w:tc>
        <w:tc>
          <w:tcPr>
            <w:tcW w:w="1286" w:type="pct"/>
            <w:noWrap w:val="0"/>
            <w:vAlign w:val="center"/>
          </w:tcPr>
          <w:p w14:paraId="42AB7DE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≤0.05</w:t>
            </w:r>
          </w:p>
        </w:tc>
      </w:tr>
      <w:tr w14:paraId="5AEE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1D93C31D">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29</w:t>
            </w:r>
          </w:p>
        </w:tc>
        <w:tc>
          <w:tcPr>
            <w:tcW w:w="1305" w:type="pct"/>
            <w:noWrap w:val="0"/>
            <w:vAlign w:val="center"/>
          </w:tcPr>
          <w:p w14:paraId="67C1323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铅</w:t>
            </w:r>
          </w:p>
        </w:tc>
        <w:tc>
          <w:tcPr>
            <w:tcW w:w="864" w:type="pct"/>
            <w:noWrap w:val="0"/>
            <w:vAlign w:val="center"/>
          </w:tcPr>
          <w:p w14:paraId="406AB4B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ug/L</w:t>
            </w:r>
          </w:p>
        </w:tc>
        <w:tc>
          <w:tcPr>
            <w:tcW w:w="552" w:type="pct"/>
            <w:noWrap w:val="0"/>
            <w:vAlign w:val="center"/>
          </w:tcPr>
          <w:p w14:paraId="05F773C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w:t>
            </w:r>
          </w:p>
        </w:tc>
        <w:tc>
          <w:tcPr>
            <w:tcW w:w="522" w:type="pct"/>
            <w:noWrap w:val="0"/>
            <w:vAlign w:val="center"/>
          </w:tcPr>
          <w:p w14:paraId="5E686B2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w:t>
            </w:r>
          </w:p>
        </w:tc>
        <w:tc>
          <w:tcPr>
            <w:tcW w:w="1286" w:type="pct"/>
            <w:noWrap w:val="0"/>
            <w:vAlign w:val="center"/>
          </w:tcPr>
          <w:p w14:paraId="57CBAC5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≤10</w:t>
            </w:r>
          </w:p>
        </w:tc>
      </w:tr>
      <w:tr w14:paraId="628B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0B435B66">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bookmarkStart w:id="54" w:name="_Toc42592565"/>
            <w:bookmarkStart w:id="55" w:name="_Toc531095797"/>
            <w:r>
              <w:rPr>
                <w:rFonts w:hint="default" w:ascii="Times New Roman" w:hAnsi="Times New Roman" w:cs="Times New Roman" w:eastAsiaTheme="minorEastAsia"/>
                <w:color w:val="auto"/>
                <w:kern w:val="0"/>
                <w:sz w:val="21"/>
                <w:szCs w:val="21"/>
              </w:rPr>
              <w:t>30</w:t>
            </w:r>
          </w:p>
        </w:tc>
        <w:tc>
          <w:tcPr>
            <w:tcW w:w="1305" w:type="pct"/>
            <w:noWrap w:val="0"/>
            <w:vAlign w:val="center"/>
          </w:tcPr>
          <w:p w14:paraId="35D628E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耐热大肠菌群</w:t>
            </w:r>
          </w:p>
        </w:tc>
        <w:tc>
          <w:tcPr>
            <w:tcW w:w="864" w:type="pct"/>
            <w:noWrap w:val="0"/>
            <w:vAlign w:val="center"/>
          </w:tcPr>
          <w:p w14:paraId="4E3CB39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lang w:val="en-US" w:eastAsia="zh-CN"/>
              </w:rPr>
              <w:t>CFU</w:t>
            </w:r>
            <w:r>
              <w:rPr>
                <w:rFonts w:hint="eastAsia" w:ascii="Times New Roman" w:hAnsi="Times New Roman" w:cs="Times New Roman" w:eastAsiaTheme="minorEastAsia"/>
                <w:color w:val="auto"/>
                <w:kern w:val="0"/>
                <w:sz w:val="21"/>
                <w:szCs w:val="21"/>
                <w:lang w:val="en-US" w:eastAsia="zh-CN"/>
              </w:rPr>
              <w:t>/100</w:t>
            </w:r>
            <w:r>
              <w:rPr>
                <w:rFonts w:hint="default" w:ascii="Times New Roman" w:hAnsi="Times New Roman" w:cs="Times New Roman" w:eastAsiaTheme="minorEastAsia"/>
                <w:color w:val="auto"/>
                <w:kern w:val="0"/>
                <w:sz w:val="21"/>
                <w:szCs w:val="21"/>
                <w:lang w:val="en-US" w:eastAsia="zh-CN"/>
              </w:rPr>
              <w:t>mL</w:t>
            </w:r>
          </w:p>
        </w:tc>
        <w:tc>
          <w:tcPr>
            <w:tcW w:w="552" w:type="pct"/>
            <w:noWrap w:val="0"/>
            <w:vAlign w:val="center"/>
          </w:tcPr>
          <w:p w14:paraId="633B8F0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22" w:type="pct"/>
            <w:noWrap w:val="0"/>
            <w:vAlign w:val="center"/>
          </w:tcPr>
          <w:p w14:paraId="1A8CC27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未检出</w:t>
            </w:r>
          </w:p>
        </w:tc>
        <w:tc>
          <w:tcPr>
            <w:tcW w:w="1286" w:type="pct"/>
            <w:noWrap w:val="0"/>
            <w:vAlign w:val="center"/>
          </w:tcPr>
          <w:p w14:paraId="4D1DA47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w:t>
            </w:r>
          </w:p>
        </w:tc>
      </w:tr>
      <w:tr w14:paraId="5065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3D28182E">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31</w:t>
            </w:r>
          </w:p>
        </w:tc>
        <w:tc>
          <w:tcPr>
            <w:tcW w:w="1305" w:type="pct"/>
            <w:noWrap w:val="0"/>
            <w:vAlign w:val="center"/>
          </w:tcPr>
          <w:p w14:paraId="0ECA083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大肠埃希氏菌</w:t>
            </w:r>
          </w:p>
        </w:tc>
        <w:tc>
          <w:tcPr>
            <w:tcW w:w="864" w:type="pct"/>
            <w:noWrap w:val="0"/>
            <w:vAlign w:val="center"/>
          </w:tcPr>
          <w:p w14:paraId="755A901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lang w:val="en-US" w:eastAsia="zh-CN"/>
              </w:rPr>
              <w:t>CFU/</w:t>
            </w:r>
            <w:r>
              <w:rPr>
                <w:rFonts w:hint="eastAsia" w:ascii="Times New Roman" w:hAnsi="Times New Roman" w:cs="Times New Roman" w:eastAsiaTheme="minorEastAsia"/>
                <w:color w:val="auto"/>
                <w:kern w:val="0"/>
                <w:sz w:val="21"/>
                <w:szCs w:val="21"/>
                <w:lang w:val="en-US" w:eastAsia="zh-CN"/>
              </w:rPr>
              <w:t>100</w:t>
            </w:r>
            <w:r>
              <w:rPr>
                <w:rFonts w:hint="default" w:ascii="Times New Roman" w:hAnsi="Times New Roman" w:cs="Times New Roman" w:eastAsiaTheme="minorEastAsia"/>
                <w:color w:val="auto"/>
                <w:kern w:val="0"/>
                <w:sz w:val="21"/>
                <w:szCs w:val="21"/>
                <w:lang w:val="en-US" w:eastAsia="zh-CN"/>
              </w:rPr>
              <w:t>mL</w:t>
            </w:r>
          </w:p>
        </w:tc>
        <w:tc>
          <w:tcPr>
            <w:tcW w:w="552" w:type="pct"/>
            <w:noWrap w:val="0"/>
            <w:vAlign w:val="center"/>
          </w:tcPr>
          <w:p w14:paraId="14E55E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22" w:type="pct"/>
            <w:noWrap w:val="0"/>
            <w:vAlign w:val="center"/>
          </w:tcPr>
          <w:p w14:paraId="6C99E63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未检出</w:t>
            </w:r>
          </w:p>
        </w:tc>
        <w:tc>
          <w:tcPr>
            <w:tcW w:w="1286" w:type="pct"/>
            <w:noWrap w:val="0"/>
            <w:vAlign w:val="center"/>
          </w:tcPr>
          <w:p w14:paraId="5F8DDB7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w:t>
            </w:r>
          </w:p>
        </w:tc>
      </w:tr>
      <w:tr w14:paraId="124C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242ACA92">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32</w:t>
            </w:r>
          </w:p>
        </w:tc>
        <w:tc>
          <w:tcPr>
            <w:tcW w:w="1305" w:type="pct"/>
            <w:noWrap w:val="0"/>
            <w:vAlign w:val="center"/>
          </w:tcPr>
          <w:p w14:paraId="023C440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K</w:t>
            </w:r>
            <w:r>
              <w:rPr>
                <w:rFonts w:hint="eastAsia" w:ascii="Times New Roman" w:hAnsi="Times New Roman" w:cs="Times New Roman" w:eastAsiaTheme="minorEastAsia"/>
                <w:color w:val="auto"/>
                <w:sz w:val="21"/>
                <w:szCs w:val="21"/>
                <w:vertAlign w:val="superscript"/>
                <w:lang w:val="en-US" w:eastAsia="zh-CN"/>
              </w:rPr>
              <w:t>+</w:t>
            </w:r>
          </w:p>
        </w:tc>
        <w:tc>
          <w:tcPr>
            <w:tcW w:w="864" w:type="pct"/>
            <w:noWrap w:val="0"/>
            <w:vAlign w:val="center"/>
          </w:tcPr>
          <w:p w14:paraId="54D28D1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vMerge w:val="restart"/>
            <w:noWrap w:val="0"/>
            <w:vAlign w:val="center"/>
          </w:tcPr>
          <w:p w14:paraId="51321D2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49.4</w:t>
            </w:r>
          </w:p>
        </w:tc>
        <w:tc>
          <w:tcPr>
            <w:tcW w:w="522" w:type="pct"/>
            <w:noWrap w:val="0"/>
            <w:vAlign w:val="center"/>
          </w:tcPr>
          <w:p w14:paraId="7175451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1286" w:type="pct"/>
            <w:noWrap w:val="0"/>
            <w:vAlign w:val="center"/>
          </w:tcPr>
          <w:p w14:paraId="5699378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r>
      <w:tr w14:paraId="5C9A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79A6435F">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33</w:t>
            </w:r>
          </w:p>
        </w:tc>
        <w:tc>
          <w:tcPr>
            <w:tcW w:w="1305" w:type="pct"/>
            <w:noWrap w:val="0"/>
            <w:vAlign w:val="center"/>
          </w:tcPr>
          <w:p w14:paraId="007C0DA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Na</w:t>
            </w:r>
            <w:r>
              <w:rPr>
                <w:rFonts w:hint="eastAsia" w:ascii="Times New Roman" w:hAnsi="Times New Roman" w:cs="Times New Roman" w:eastAsiaTheme="minorEastAsia"/>
                <w:color w:val="auto"/>
                <w:sz w:val="21"/>
                <w:szCs w:val="21"/>
                <w:vertAlign w:val="superscript"/>
                <w:lang w:val="en-US" w:eastAsia="zh-CN"/>
              </w:rPr>
              <w:t>+</w:t>
            </w:r>
          </w:p>
        </w:tc>
        <w:tc>
          <w:tcPr>
            <w:tcW w:w="864" w:type="pct"/>
            <w:noWrap w:val="0"/>
            <w:vAlign w:val="center"/>
          </w:tcPr>
          <w:p w14:paraId="20F10E1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vMerge w:val="continue"/>
            <w:noWrap w:val="0"/>
            <w:vAlign w:val="center"/>
          </w:tcPr>
          <w:p w14:paraId="46B321D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p>
        </w:tc>
        <w:tc>
          <w:tcPr>
            <w:tcW w:w="522" w:type="pct"/>
            <w:noWrap w:val="0"/>
            <w:vAlign w:val="center"/>
          </w:tcPr>
          <w:p w14:paraId="45B40EB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1286" w:type="pct"/>
            <w:noWrap w:val="0"/>
            <w:vAlign w:val="center"/>
          </w:tcPr>
          <w:p w14:paraId="2388811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r>
      <w:tr w14:paraId="1299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50EB7529">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34</w:t>
            </w:r>
          </w:p>
        </w:tc>
        <w:tc>
          <w:tcPr>
            <w:tcW w:w="1305" w:type="pct"/>
            <w:noWrap w:val="0"/>
            <w:vAlign w:val="center"/>
          </w:tcPr>
          <w:p w14:paraId="0B902A9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Ca</w:t>
            </w:r>
            <w:r>
              <w:rPr>
                <w:rFonts w:hint="eastAsia" w:ascii="Times New Roman" w:hAnsi="Times New Roman" w:cs="Times New Roman" w:eastAsiaTheme="minorEastAsia"/>
                <w:color w:val="auto"/>
                <w:sz w:val="21"/>
                <w:szCs w:val="21"/>
                <w:vertAlign w:val="superscript"/>
                <w:lang w:val="en-US" w:eastAsia="zh-CN"/>
              </w:rPr>
              <w:t>2+</w:t>
            </w:r>
          </w:p>
        </w:tc>
        <w:tc>
          <w:tcPr>
            <w:tcW w:w="864" w:type="pct"/>
            <w:noWrap w:val="0"/>
            <w:vAlign w:val="center"/>
          </w:tcPr>
          <w:p w14:paraId="0CEDA91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noWrap w:val="0"/>
            <w:vAlign w:val="center"/>
          </w:tcPr>
          <w:p w14:paraId="37F600C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18</w:t>
            </w:r>
          </w:p>
        </w:tc>
        <w:tc>
          <w:tcPr>
            <w:tcW w:w="522" w:type="pct"/>
            <w:noWrap w:val="0"/>
            <w:vAlign w:val="center"/>
          </w:tcPr>
          <w:p w14:paraId="450E838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1286" w:type="pct"/>
            <w:noWrap w:val="0"/>
            <w:vAlign w:val="center"/>
          </w:tcPr>
          <w:p w14:paraId="3773B35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r>
      <w:tr w14:paraId="2304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6EEFBC2E">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35</w:t>
            </w:r>
          </w:p>
        </w:tc>
        <w:tc>
          <w:tcPr>
            <w:tcW w:w="1305" w:type="pct"/>
            <w:noWrap w:val="0"/>
            <w:vAlign w:val="center"/>
          </w:tcPr>
          <w:p w14:paraId="54CDF8A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Mg</w:t>
            </w:r>
            <w:r>
              <w:rPr>
                <w:rFonts w:hint="eastAsia" w:ascii="Times New Roman" w:hAnsi="Times New Roman" w:cs="Times New Roman" w:eastAsiaTheme="minorEastAsia"/>
                <w:color w:val="auto"/>
                <w:sz w:val="21"/>
                <w:szCs w:val="21"/>
                <w:vertAlign w:val="superscript"/>
                <w:lang w:val="en-US" w:eastAsia="zh-CN"/>
              </w:rPr>
              <w:t>2+</w:t>
            </w:r>
          </w:p>
        </w:tc>
        <w:tc>
          <w:tcPr>
            <w:tcW w:w="864" w:type="pct"/>
            <w:noWrap w:val="0"/>
            <w:vAlign w:val="center"/>
          </w:tcPr>
          <w:p w14:paraId="65FF42E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noWrap w:val="0"/>
            <w:vAlign w:val="center"/>
          </w:tcPr>
          <w:p w14:paraId="758AD7D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1.2</w:t>
            </w:r>
          </w:p>
        </w:tc>
        <w:tc>
          <w:tcPr>
            <w:tcW w:w="522" w:type="pct"/>
            <w:noWrap w:val="0"/>
            <w:vAlign w:val="center"/>
          </w:tcPr>
          <w:p w14:paraId="4CF1694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1286" w:type="pct"/>
            <w:noWrap w:val="0"/>
            <w:vAlign w:val="center"/>
          </w:tcPr>
          <w:p w14:paraId="41B00A2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r>
      <w:tr w14:paraId="4BCC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049674A3">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36</w:t>
            </w:r>
          </w:p>
        </w:tc>
        <w:tc>
          <w:tcPr>
            <w:tcW w:w="1305" w:type="pct"/>
            <w:noWrap w:val="0"/>
            <w:vAlign w:val="center"/>
          </w:tcPr>
          <w:p w14:paraId="184CDC6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NH</w:t>
            </w:r>
            <w:r>
              <w:rPr>
                <w:rFonts w:hint="eastAsia" w:ascii="Times New Roman" w:hAnsi="Times New Roman" w:cs="Times New Roman" w:eastAsiaTheme="minorEastAsia"/>
                <w:color w:val="auto"/>
                <w:sz w:val="21"/>
                <w:szCs w:val="21"/>
                <w:vertAlign w:val="subscript"/>
                <w:lang w:val="en-US" w:eastAsia="zh-CN"/>
              </w:rPr>
              <w:t>4</w:t>
            </w:r>
            <w:r>
              <w:rPr>
                <w:rFonts w:hint="eastAsia" w:ascii="Times New Roman" w:hAnsi="Times New Roman" w:cs="Times New Roman" w:eastAsiaTheme="minorEastAsia"/>
                <w:color w:val="auto"/>
                <w:sz w:val="21"/>
                <w:szCs w:val="21"/>
                <w:vertAlign w:val="superscript"/>
                <w:lang w:val="en-US" w:eastAsia="zh-CN"/>
              </w:rPr>
              <w:t>+</w:t>
            </w:r>
          </w:p>
        </w:tc>
        <w:tc>
          <w:tcPr>
            <w:tcW w:w="864" w:type="pct"/>
            <w:noWrap w:val="0"/>
            <w:vAlign w:val="center"/>
          </w:tcPr>
          <w:p w14:paraId="2E48B5C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noWrap w:val="0"/>
            <w:vAlign w:val="center"/>
          </w:tcPr>
          <w:p w14:paraId="3BE7AAF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0.23</w:t>
            </w:r>
          </w:p>
        </w:tc>
        <w:tc>
          <w:tcPr>
            <w:tcW w:w="522" w:type="pct"/>
            <w:noWrap w:val="0"/>
            <w:vAlign w:val="center"/>
          </w:tcPr>
          <w:p w14:paraId="54B8F5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1286" w:type="pct"/>
            <w:noWrap w:val="0"/>
            <w:vAlign w:val="center"/>
          </w:tcPr>
          <w:p w14:paraId="0FCF70B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r>
      <w:tr w14:paraId="5A83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3775B5FA">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37</w:t>
            </w:r>
          </w:p>
        </w:tc>
        <w:tc>
          <w:tcPr>
            <w:tcW w:w="1305" w:type="pct"/>
            <w:noWrap w:val="0"/>
            <w:vAlign w:val="center"/>
          </w:tcPr>
          <w:p w14:paraId="6A01826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HCO</w:t>
            </w:r>
            <w:r>
              <w:rPr>
                <w:rFonts w:hint="eastAsia" w:ascii="Times New Roman" w:hAnsi="Times New Roman" w:cs="Times New Roman" w:eastAsiaTheme="minorEastAsia"/>
                <w:color w:val="auto"/>
                <w:sz w:val="21"/>
                <w:szCs w:val="21"/>
                <w:vertAlign w:val="subscript"/>
                <w:lang w:val="en-US" w:eastAsia="zh-CN"/>
              </w:rPr>
              <w:t>3</w:t>
            </w:r>
            <w:r>
              <w:rPr>
                <w:rFonts w:hint="eastAsia" w:ascii="Times New Roman" w:hAnsi="Times New Roman" w:cs="Times New Roman" w:eastAsiaTheme="minorEastAsia"/>
                <w:color w:val="auto"/>
                <w:sz w:val="21"/>
                <w:szCs w:val="21"/>
                <w:vertAlign w:val="superscript"/>
                <w:lang w:val="en-US" w:eastAsia="zh-CN"/>
              </w:rPr>
              <w:t>-</w:t>
            </w:r>
          </w:p>
        </w:tc>
        <w:tc>
          <w:tcPr>
            <w:tcW w:w="864" w:type="pct"/>
            <w:noWrap w:val="0"/>
            <w:vAlign w:val="center"/>
          </w:tcPr>
          <w:p w14:paraId="04E4932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noWrap w:val="0"/>
            <w:vAlign w:val="center"/>
          </w:tcPr>
          <w:p w14:paraId="3FC6628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165</w:t>
            </w:r>
          </w:p>
        </w:tc>
        <w:tc>
          <w:tcPr>
            <w:tcW w:w="522" w:type="pct"/>
            <w:noWrap w:val="0"/>
            <w:vAlign w:val="center"/>
          </w:tcPr>
          <w:p w14:paraId="7E42AB6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1286" w:type="pct"/>
            <w:noWrap w:val="0"/>
            <w:vAlign w:val="center"/>
          </w:tcPr>
          <w:p w14:paraId="747C93D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r>
      <w:tr w14:paraId="5409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79356D71">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38</w:t>
            </w:r>
          </w:p>
        </w:tc>
        <w:tc>
          <w:tcPr>
            <w:tcW w:w="1305" w:type="pct"/>
            <w:noWrap w:val="0"/>
            <w:vAlign w:val="center"/>
          </w:tcPr>
          <w:p w14:paraId="09E0A67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CO</w:t>
            </w:r>
            <w:r>
              <w:rPr>
                <w:rFonts w:hint="eastAsia" w:ascii="Times New Roman" w:hAnsi="Times New Roman" w:cs="Times New Roman" w:eastAsiaTheme="minorEastAsia"/>
                <w:color w:val="auto"/>
                <w:sz w:val="21"/>
                <w:szCs w:val="21"/>
                <w:vertAlign w:val="subscript"/>
                <w:lang w:val="en-US" w:eastAsia="zh-CN"/>
              </w:rPr>
              <w:t>3</w:t>
            </w:r>
            <w:r>
              <w:rPr>
                <w:rFonts w:hint="eastAsia" w:ascii="Times New Roman" w:hAnsi="Times New Roman" w:cs="Times New Roman" w:eastAsiaTheme="minorEastAsia"/>
                <w:color w:val="auto"/>
                <w:sz w:val="21"/>
                <w:szCs w:val="21"/>
                <w:vertAlign w:val="superscript"/>
                <w:lang w:val="en-US" w:eastAsia="zh-CN"/>
              </w:rPr>
              <w:t>2-</w:t>
            </w:r>
          </w:p>
        </w:tc>
        <w:tc>
          <w:tcPr>
            <w:tcW w:w="864" w:type="pct"/>
            <w:noWrap w:val="0"/>
            <w:vAlign w:val="center"/>
          </w:tcPr>
          <w:p w14:paraId="763869F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noWrap w:val="0"/>
            <w:vAlign w:val="center"/>
          </w:tcPr>
          <w:p w14:paraId="59493FF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w:t>
            </w:r>
          </w:p>
        </w:tc>
        <w:tc>
          <w:tcPr>
            <w:tcW w:w="522" w:type="pct"/>
            <w:noWrap w:val="0"/>
            <w:vAlign w:val="center"/>
          </w:tcPr>
          <w:p w14:paraId="2F4B4E4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1286" w:type="pct"/>
            <w:noWrap w:val="0"/>
            <w:vAlign w:val="center"/>
          </w:tcPr>
          <w:p w14:paraId="2D4D9D6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r>
      <w:tr w14:paraId="3358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469" w:type="pct"/>
            <w:noWrap w:val="0"/>
            <w:vAlign w:val="center"/>
          </w:tcPr>
          <w:p w14:paraId="2AE1433D">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39</w:t>
            </w:r>
          </w:p>
        </w:tc>
        <w:tc>
          <w:tcPr>
            <w:tcW w:w="1305" w:type="pct"/>
            <w:noWrap w:val="0"/>
            <w:vAlign w:val="center"/>
          </w:tcPr>
          <w:p w14:paraId="168A749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NO</w:t>
            </w:r>
            <w:r>
              <w:rPr>
                <w:rFonts w:hint="eastAsia" w:ascii="Times New Roman" w:hAnsi="Times New Roman" w:cs="Times New Roman" w:eastAsiaTheme="minorEastAsia"/>
                <w:color w:val="auto"/>
                <w:sz w:val="21"/>
                <w:szCs w:val="21"/>
                <w:vertAlign w:val="subscript"/>
                <w:lang w:val="en-US" w:eastAsia="zh-CN"/>
              </w:rPr>
              <w:t>2</w:t>
            </w:r>
            <w:r>
              <w:rPr>
                <w:rFonts w:hint="eastAsia" w:ascii="Times New Roman" w:hAnsi="Times New Roman" w:cs="Times New Roman" w:eastAsiaTheme="minorEastAsia"/>
                <w:color w:val="auto"/>
                <w:sz w:val="21"/>
                <w:szCs w:val="21"/>
                <w:vertAlign w:val="superscript"/>
                <w:lang w:val="en-US" w:eastAsia="zh-CN"/>
              </w:rPr>
              <w:t>-</w:t>
            </w:r>
          </w:p>
        </w:tc>
        <w:tc>
          <w:tcPr>
            <w:tcW w:w="864" w:type="pct"/>
            <w:noWrap w:val="0"/>
            <w:vAlign w:val="center"/>
          </w:tcPr>
          <w:p w14:paraId="32FBB38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552" w:type="pct"/>
            <w:noWrap w:val="0"/>
            <w:vAlign w:val="center"/>
          </w:tcPr>
          <w:p w14:paraId="4A4ACD0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0.007</w:t>
            </w:r>
          </w:p>
        </w:tc>
        <w:tc>
          <w:tcPr>
            <w:tcW w:w="522" w:type="pct"/>
            <w:noWrap w:val="0"/>
            <w:vAlign w:val="center"/>
          </w:tcPr>
          <w:p w14:paraId="41913F9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1286" w:type="pct"/>
            <w:noWrap w:val="0"/>
            <w:vAlign w:val="center"/>
          </w:tcPr>
          <w:p w14:paraId="18127EA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r>
    </w:tbl>
    <w:p w14:paraId="1FF809E3">
      <w:pPr>
        <w:pStyle w:val="5"/>
        <w:keepNext/>
        <w:keepLines/>
        <w:pageBreakBefore w:val="0"/>
        <w:widowControl w:val="0"/>
        <w:kinsoku/>
        <w:wordWrap/>
        <w:overflowPunct/>
        <w:topLinePunct w:val="0"/>
        <w:autoSpaceDE/>
        <w:autoSpaceDN/>
        <w:bidi w:val="0"/>
        <w:adjustRightInd/>
        <w:snapToGrid/>
        <w:spacing w:before="120" w:after="120"/>
        <w:textAlignment w:val="auto"/>
        <w:outlineLvl w:val="3"/>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6</w:t>
      </w:r>
      <w:r>
        <w:rPr>
          <w:rFonts w:hint="default" w:ascii="Times New Roman" w:hAnsi="Times New Roman" w:cs="Times New Roman"/>
          <w:color w:val="auto"/>
        </w:rPr>
        <w:t>.2水质评价结果</w:t>
      </w:r>
      <w:bookmarkEnd w:id="54"/>
      <w:bookmarkEnd w:id="55"/>
    </w:p>
    <w:p w14:paraId="519EA3D3">
      <w:pPr>
        <w:spacing w:line="600" w:lineRule="exact"/>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根据</w:t>
      </w:r>
      <w:r>
        <w:rPr>
          <w:rFonts w:hint="eastAsia" w:ascii="Times New Roman" w:hAnsi="Times New Roman" w:cs="Times New Roman"/>
          <w:color w:val="auto"/>
          <w:sz w:val="28"/>
          <w:szCs w:val="28"/>
          <w:lang w:val="en-US" w:eastAsia="zh-CN"/>
        </w:rPr>
        <w:t>例行</w:t>
      </w:r>
      <w:r>
        <w:rPr>
          <w:rFonts w:hint="default" w:ascii="Times New Roman" w:hAnsi="Times New Roman" w:cs="Times New Roman"/>
          <w:color w:val="auto"/>
          <w:sz w:val="28"/>
          <w:szCs w:val="28"/>
        </w:rPr>
        <w:t>监测报告：水源</w:t>
      </w:r>
      <w:r>
        <w:rPr>
          <w:rFonts w:hint="eastAsia" w:ascii="Times New Roman" w:hAnsi="Times New Roman" w:cs="Times New Roman"/>
          <w:color w:val="auto"/>
          <w:sz w:val="28"/>
          <w:szCs w:val="28"/>
          <w:lang w:val="en-US" w:eastAsia="zh-CN"/>
        </w:rPr>
        <w:t>地内</w:t>
      </w:r>
      <w:r>
        <w:rPr>
          <w:rFonts w:hint="default" w:ascii="Times New Roman" w:hAnsi="Times New Roman" w:cs="Times New Roman"/>
          <w:color w:val="auto"/>
          <w:sz w:val="28"/>
          <w:szCs w:val="28"/>
        </w:rPr>
        <w:t>监测点（1、</w:t>
      </w:r>
      <w:r>
        <w:rPr>
          <w:rFonts w:hint="default" w:ascii="Times New Roman" w:hAnsi="Times New Roman" w:cs="Times New Roman"/>
          <w:color w:val="auto"/>
          <w:sz w:val="28"/>
          <w:szCs w:val="28"/>
          <w:lang w:val="en-US" w:eastAsia="zh-CN"/>
        </w:rPr>
        <w:t>2井</w:t>
      </w:r>
      <w:r>
        <w:rPr>
          <w:rFonts w:hint="default" w:ascii="Times New Roman" w:hAnsi="Times New Roman" w:cs="Times New Roman"/>
          <w:color w:val="auto"/>
          <w:sz w:val="28"/>
          <w:szCs w:val="28"/>
        </w:rPr>
        <w:t>混合水样</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各监测指标均符合《地下水质量标准》</w:t>
      </w:r>
      <w:r>
        <w:rPr>
          <w:rFonts w:hint="default" w:ascii="Times New Roman" w:hAnsi="Times New Roman" w:cs="Times New Roman"/>
          <w:color w:val="auto"/>
          <w:kern w:val="0"/>
          <w:sz w:val="28"/>
          <w:szCs w:val="28"/>
        </w:rPr>
        <w:t>（GB/T14848-2017）</w:t>
      </w:r>
      <w:r>
        <w:rPr>
          <w:rFonts w:hint="default" w:ascii="Times New Roman" w:hAnsi="Times New Roman" w:cs="Times New Roman"/>
          <w:color w:val="auto"/>
          <w:sz w:val="28"/>
          <w:szCs w:val="28"/>
        </w:rPr>
        <w:t>Ⅲ类标准限值要求。</w:t>
      </w:r>
    </w:p>
    <w:p w14:paraId="22C1E1BC">
      <w:pPr>
        <w:pStyle w:val="4"/>
        <w:keepNext/>
        <w:keepLines/>
        <w:pageBreakBefore w:val="0"/>
        <w:widowControl w:val="0"/>
        <w:kinsoku/>
        <w:wordWrap/>
        <w:overflowPunct/>
        <w:topLinePunct w:val="0"/>
        <w:autoSpaceDE/>
        <w:autoSpaceDN/>
        <w:bidi w:val="0"/>
        <w:adjustRightInd/>
        <w:snapToGrid/>
        <w:spacing w:before="0" w:after="0"/>
        <w:textAlignment w:val="auto"/>
        <w:outlineLvl w:val="1"/>
        <w:rPr>
          <w:rFonts w:hint="default" w:ascii="Times New Roman" w:hAnsi="Times New Roman" w:eastAsia="宋体" w:cs="Times New Roman"/>
          <w:color w:val="auto"/>
          <w:lang w:val="en-US" w:eastAsia="zh-CN"/>
        </w:rPr>
      </w:pPr>
      <w:bookmarkStart w:id="56" w:name="_Toc463685536"/>
      <w:bookmarkStart w:id="57" w:name="_Toc2422"/>
      <w:r>
        <w:rPr>
          <w:rFonts w:hint="default" w:ascii="Times New Roman" w:hAnsi="Times New Roman" w:cs="Times New Roman"/>
          <w:color w:val="auto"/>
          <w:lang w:val="en-US" w:eastAsia="zh-CN"/>
        </w:rPr>
        <w:t>2.</w:t>
      </w:r>
      <w:r>
        <w:rPr>
          <w:rFonts w:hint="eastAsia" w:cs="Times New Roman"/>
          <w:color w:val="auto"/>
          <w:lang w:val="en-US" w:eastAsia="zh-CN"/>
        </w:rPr>
        <w:t>7</w:t>
      </w:r>
      <w:r>
        <w:rPr>
          <w:rFonts w:hint="default" w:ascii="Times New Roman" w:hAnsi="Times New Roman" w:eastAsia="宋体" w:cs="Times New Roman"/>
          <w:color w:val="auto"/>
        </w:rPr>
        <w:t xml:space="preserve"> 饮用水</w:t>
      </w:r>
      <w:r>
        <w:rPr>
          <w:rFonts w:hint="default" w:ascii="Times New Roman" w:hAnsi="Times New Roman" w:cs="Times New Roman"/>
          <w:color w:val="auto"/>
          <w:lang w:val="en-US" w:eastAsia="zh-CN"/>
        </w:rPr>
        <w:t>水</w:t>
      </w:r>
      <w:r>
        <w:rPr>
          <w:rFonts w:hint="default" w:ascii="Times New Roman" w:hAnsi="Times New Roman" w:eastAsia="宋体" w:cs="Times New Roman"/>
          <w:color w:val="auto"/>
        </w:rPr>
        <w:t>源</w:t>
      </w:r>
      <w:r>
        <w:rPr>
          <w:rFonts w:hint="default" w:ascii="Times New Roman" w:hAnsi="Times New Roman" w:cs="Times New Roman"/>
          <w:color w:val="auto"/>
          <w:lang w:val="en-US" w:eastAsia="zh-CN"/>
        </w:rPr>
        <w:t>地</w:t>
      </w:r>
      <w:r>
        <w:rPr>
          <w:rFonts w:hint="default" w:ascii="Times New Roman" w:hAnsi="Times New Roman" w:eastAsia="宋体" w:cs="Times New Roman"/>
          <w:color w:val="auto"/>
        </w:rPr>
        <w:t>周边</w:t>
      </w:r>
      <w:bookmarkEnd w:id="56"/>
      <w:r>
        <w:rPr>
          <w:rFonts w:hint="default" w:ascii="Times New Roman" w:hAnsi="Times New Roman" w:cs="Times New Roman"/>
          <w:color w:val="auto"/>
          <w:lang w:val="en-US" w:eastAsia="zh-CN"/>
        </w:rPr>
        <w:t>污染源调查</w:t>
      </w:r>
      <w:bookmarkEnd w:id="57"/>
    </w:p>
    <w:p w14:paraId="60D928D8">
      <w:pPr>
        <w:pStyle w:val="10"/>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本次调查范围为水源井周围300m范围。</w:t>
      </w:r>
    </w:p>
    <w:p w14:paraId="32349D99">
      <w:pPr>
        <w:pStyle w:val="10"/>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结合资料调研和现状调查的情况分析，</w:t>
      </w:r>
      <w:r>
        <w:rPr>
          <w:rFonts w:hint="eastAsia" w:ascii="Times New Roman" w:hAnsi="Times New Roman" w:cs="Times New Roman"/>
          <w:color w:val="auto"/>
          <w:sz w:val="28"/>
          <w:szCs w:val="28"/>
          <w:lang w:val="en-US" w:eastAsia="zh-CN"/>
        </w:rPr>
        <w:t>水源井周围主要污染源为，非点源中的农村生活污水及固体废物污染（狄寨村）、流动源（狄寨北路、狄寨村村道）</w:t>
      </w: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村庄</w:t>
      </w:r>
      <w:r>
        <w:rPr>
          <w:rFonts w:hint="default" w:ascii="Times New Roman" w:hAnsi="Times New Roman" w:cs="Times New Roman"/>
          <w:color w:val="auto"/>
          <w:sz w:val="28"/>
          <w:szCs w:val="28"/>
        </w:rPr>
        <w:t>建设配套的排水管网、生活垃圾收集清运系统较为完善，对水源地环境影响轻微。</w:t>
      </w:r>
    </w:p>
    <w:p w14:paraId="5DDBD0B6">
      <w:pPr>
        <w:pStyle w:val="5"/>
        <w:keepNext/>
        <w:keepLines/>
        <w:pageBreakBefore w:val="0"/>
        <w:widowControl w:val="0"/>
        <w:kinsoku/>
        <w:wordWrap/>
        <w:overflowPunct/>
        <w:topLinePunct w:val="0"/>
        <w:autoSpaceDE/>
        <w:autoSpaceDN/>
        <w:bidi w:val="0"/>
        <w:adjustRightInd/>
        <w:snapToGrid/>
        <w:spacing w:before="120" w:after="12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2.7.1非点源</w:t>
      </w:r>
    </w:p>
    <w:p w14:paraId="65CB9D0D">
      <w:pPr>
        <w:pStyle w:val="12"/>
        <w:jc w:val="both"/>
        <w:rPr>
          <w:rFonts w:hint="eastAsia" w:ascii="Times New Roman" w:hAnsi="Times New Roman" w:cs="Times New Roman"/>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西安市灞桥区狄寨街道狄寨村水源地周围的非点源主要为农村生活污水及固体废物污染，为水源地西南侧的狄寨村。</w:t>
      </w:r>
    </w:p>
    <w:p w14:paraId="51F61DCB">
      <w:pPr>
        <w:pStyle w:val="12"/>
        <w:jc w:val="both"/>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狄寨村共分10组总计约5000余人，根据《陕西省行业用水定额》（DB61/T943-2020）农村居民生活用水70L/人·d，根据第二次全国污染源普查排放系数并根据农村地区实际情况，估算得生活污水产生量为74259.25t/a，COD产生量为46.26t/a，氨氮产生量为4.98t/a。生活垃圾产生量为664.3t/a。狄寨村村民生活污水排入市政管网经西安市第十三污水处理厂处理排放，村民生活垃圾集中收集后由市政部门统一清运。</w:t>
      </w:r>
    </w:p>
    <w:p w14:paraId="73BFC255">
      <w:pPr>
        <w:pStyle w:val="12"/>
        <w:ind w:left="0" w:leftChars="0" w:firstLine="0" w:firstLineChars="0"/>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表2.7-1  水源地周边的非点源污染源分布情况一览表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561"/>
        <w:gridCol w:w="916"/>
        <w:gridCol w:w="3833"/>
        <w:gridCol w:w="1597"/>
        <w:gridCol w:w="720"/>
      </w:tblGrid>
      <w:tr w14:paraId="71B6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14:paraId="574010E1">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序号</w:t>
            </w:r>
          </w:p>
        </w:tc>
        <w:tc>
          <w:tcPr>
            <w:tcW w:w="561" w:type="dxa"/>
            <w:vAlign w:val="center"/>
          </w:tcPr>
          <w:p w14:paraId="2D043A68">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名称</w:t>
            </w:r>
          </w:p>
        </w:tc>
        <w:tc>
          <w:tcPr>
            <w:tcW w:w="916" w:type="dxa"/>
            <w:vAlign w:val="center"/>
          </w:tcPr>
          <w:p w14:paraId="5E3871D1">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坐标</w:t>
            </w:r>
          </w:p>
        </w:tc>
        <w:tc>
          <w:tcPr>
            <w:tcW w:w="3833" w:type="dxa"/>
            <w:vAlign w:val="center"/>
          </w:tcPr>
          <w:p w14:paraId="60B42543">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现场照片</w:t>
            </w:r>
          </w:p>
        </w:tc>
        <w:tc>
          <w:tcPr>
            <w:tcW w:w="1597" w:type="dxa"/>
            <w:vAlign w:val="center"/>
          </w:tcPr>
          <w:p w14:paraId="400830BD">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备注</w:t>
            </w:r>
          </w:p>
        </w:tc>
        <w:tc>
          <w:tcPr>
            <w:tcW w:w="720" w:type="dxa"/>
            <w:vAlign w:val="center"/>
          </w:tcPr>
          <w:p w14:paraId="3B0386B7">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距水源井距离</w:t>
            </w:r>
          </w:p>
        </w:tc>
      </w:tr>
      <w:tr w14:paraId="07D4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14:paraId="502D0146">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w:t>
            </w:r>
          </w:p>
        </w:tc>
        <w:tc>
          <w:tcPr>
            <w:tcW w:w="561" w:type="dxa"/>
            <w:vAlign w:val="center"/>
          </w:tcPr>
          <w:p w14:paraId="1198742E">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狄寨村</w:t>
            </w:r>
          </w:p>
        </w:tc>
        <w:tc>
          <w:tcPr>
            <w:tcW w:w="916" w:type="dxa"/>
            <w:vAlign w:val="center"/>
          </w:tcPr>
          <w:p w14:paraId="41C807AC">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E</w:t>
            </w:r>
            <w:r>
              <w:rPr>
                <w:rFonts w:hint="default" w:ascii="Times New Roman" w:hAnsi="Times New Roman" w:eastAsia="宋体" w:cs="Times New Roman"/>
                <w:color w:val="auto"/>
                <w:kern w:val="2"/>
                <w:sz w:val="21"/>
                <w:szCs w:val="21"/>
                <w:vertAlign w:val="baseline"/>
                <w:lang w:val="en-US" w:eastAsia="zh-CN" w:bidi="ar-SA"/>
              </w:rPr>
              <w:t>109.12565231</w:t>
            </w:r>
            <w:r>
              <w:rPr>
                <w:rFonts w:hint="eastAsia" w:ascii="Times New Roman" w:hAnsi="Times New Roman" w:eastAsia="宋体" w:cs="Times New Roman"/>
                <w:color w:val="auto"/>
                <w:kern w:val="2"/>
                <w:sz w:val="21"/>
                <w:szCs w:val="21"/>
                <w:vertAlign w:val="baseline"/>
                <w:lang w:val="en-US" w:eastAsia="zh-CN" w:bidi="ar-SA"/>
              </w:rPr>
              <w:t>°，N34.20972600°</w:t>
            </w:r>
          </w:p>
        </w:tc>
        <w:tc>
          <w:tcPr>
            <w:tcW w:w="3833" w:type="dxa"/>
            <w:vAlign w:val="center"/>
          </w:tcPr>
          <w:p w14:paraId="16003D97">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drawing>
                <wp:inline distT="0" distB="0" distL="114300" distR="114300">
                  <wp:extent cx="2284730" cy="3048000"/>
                  <wp:effectExtent l="0" t="0" r="1270" b="0"/>
                  <wp:docPr id="15" name="图片 15" descr="11726a4c6312caab92ab5a0f5fd2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726a4c6312caab92ab5a0f5fd2f78"/>
                          <pic:cNvPicPr>
                            <a:picLocks noChangeAspect="1"/>
                          </pic:cNvPicPr>
                        </pic:nvPicPr>
                        <pic:blipFill>
                          <a:blip r:embed="rId23"/>
                          <a:stretch>
                            <a:fillRect/>
                          </a:stretch>
                        </pic:blipFill>
                        <pic:spPr>
                          <a:xfrm>
                            <a:off x="0" y="0"/>
                            <a:ext cx="2284730" cy="3048000"/>
                          </a:xfrm>
                          <a:prstGeom prst="rect">
                            <a:avLst/>
                          </a:prstGeom>
                        </pic:spPr>
                      </pic:pic>
                    </a:graphicData>
                  </a:graphic>
                </wp:inline>
              </w:drawing>
            </w:r>
            <w:r>
              <w:rPr>
                <w:rFonts w:hint="default" w:ascii="Times New Roman" w:hAnsi="Times New Roman" w:eastAsia="宋体" w:cs="Times New Roman"/>
                <w:color w:val="auto"/>
                <w:kern w:val="2"/>
                <w:sz w:val="21"/>
                <w:szCs w:val="21"/>
                <w:vertAlign w:val="baseline"/>
                <w:lang w:val="en-US" w:eastAsia="zh-CN" w:bidi="ar-SA"/>
              </w:rPr>
              <w:drawing>
                <wp:inline distT="0" distB="0" distL="114300" distR="114300">
                  <wp:extent cx="2284730" cy="3048000"/>
                  <wp:effectExtent l="0" t="0" r="1270" b="0"/>
                  <wp:docPr id="16" name="图片 16" descr="bb0bc1a22b4eb89c23b3a7bec0bd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b0bc1a22b4eb89c23b3a7bec0bdce6"/>
                          <pic:cNvPicPr>
                            <a:picLocks noChangeAspect="1"/>
                          </pic:cNvPicPr>
                        </pic:nvPicPr>
                        <pic:blipFill>
                          <a:blip r:embed="rId24"/>
                          <a:stretch>
                            <a:fillRect/>
                          </a:stretch>
                        </pic:blipFill>
                        <pic:spPr>
                          <a:xfrm>
                            <a:off x="0" y="0"/>
                            <a:ext cx="2284730" cy="3048000"/>
                          </a:xfrm>
                          <a:prstGeom prst="rect">
                            <a:avLst/>
                          </a:prstGeom>
                        </pic:spPr>
                      </pic:pic>
                    </a:graphicData>
                  </a:graphic>
                </wp:inline>
              </w:drawing>
            </w:r>
            <w:r>
              <w:rPr>
                <w:rFonts w:hint="default" w:ascii="Times New Roman" w:hAnsi="Times New Roman" w:eastAsia="宋体" w:cs="Times New Roman"/>
                <w:color w:val="auto"/>
                <w:kern w:val="2"/>
                <w:sz w:val="21"/>
                <w:szCs w:val="21"/>
                <w:vertAlign w:val="baseline"/>
                <w:lang w:val="en-US" w:eastAsia="zh-CN" w:bidi="ar-SA"/>
              </w:rPr>
              <w:drawing>
                <wp:inline distT="0" distB="0" distL="114300" distR="114300">
                  <wp:extent cx="2284730" cy="3048000"/>
                  <wp:effectExtent l="0" t="0" r="1270" b="0"/>
                  <wp:docPr id="17" name="图片 17" descr="19b5ef898ee5b00a79df3af69aab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b5ef898ee5b00a79df3af69aab593"/>
                          <pic:cNvPicPr>
                            <a:picLocks noChangeAspect="1"/>
                          </pic:cNvPicPr>
                        </pic:nvPicPr>
                        <pic:blipFill>
                          <a:blip r:embed="rId25"/>
                          <a:stretch>
                            <a:fillRect/>
                          </a:stretch>
                        </pic:blipFill>
                        <pic:spPr>
                          <a:xfrm>
                            <a:off x="0" y="0"/>
                            <a:ext cx="2284730" cy="3048000"/>
                          </a:xfrm>
                          <a:prstGeom prst="rect">
                            <a:avLst/>
                          </a:prstGeom>
                        </pic:spPr>
                      </pic:pic>
                    </a:graphicData>
                  </a:graphic>
                </wp:inline>
              </w:drawing>
            </w:r>
          </w:p>
        </w:tc>
        <w:tc>
          <w:tcPr>
            <w:tcW w:w="1597" w:type="dxa"/>
            <w:vAlign w:val="center"/>
          </w:tcPr>
          <w:p w14:paraId="671E9A2A">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生活污水排入市政管网经西安市第十三污水处理厂处理排放，村民生活垃圾集中收集后由市政部门统一清运</w:t>
            </w:r>
          </w:p>
        </w:tc>
        <w:tc>
          <w:tcPr>
            <w:tcW w:w="720" w:type="dxa"/>
            <w:vAlign w:val="center"/>
          </w:tcPr>
          <w:p w14:paraId="0C32A783">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距离水源井2#直线距离为160m,距离水源井1#直线距离为200m</w:t>
            </w:r>
          </w:p>
        </w:tc>
      </w:tr>
    </w:tbl>
    <w:p w14:paraId="4D437EA4">
      <w:pPr>
        <w:pStyle w:val="5"/>
        <w:keepNext/>
        <w:keepLines/>
        <w:pageBreakBefore w:val="0"/>
        <w:widowControl w:val="0"/>
        <w:kinsoku/>
        <w:wordWrap/>
        <w:overflowPunct/>
        <w:topLinePunct w:val="0"/>
        <w:autoSpaceDE/>
        <w:autoSpaceDN/>
        <w:bidi w:val="0"/>
        <w:adjustRightInd/>
        <w:snapToGrid/>
        <w:spacing w:before="120" w:after="12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2.7.2流动源</w:t>
      </w:r>
    </w:p>
    <w:p w14:paraId="4A720C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eastAsia" w:ascii="Times New Roman" w:hAnsi="Times New Roman" w:cs="Times New Roman"/>
          <w:color w:val="auto"/>
          <w:kern w:val="2"/>
          <w:sz w:val="28"/>
          <w:szCs w:val="28"/>
          <w:lang w:val="en-US" w:eastAsia="zh-CN" w:bidi="ar-SA"/>
        </w:rPr>
        <w:t>（1）狄寨北路</w:t>
      </w:r>
    </w:p>
    <w:p w14:paraId="3C81B92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狄寨北路西起狄寨南路（江家沟）东至S102连接路</w:t>
      </w:r>
      <w:r>
        <w:rPr>
          <w:rFonts w:hint="eastAsia" w:ascii="Times New Roman" w:hAnsi="Times New Roman" w:cs="Times New Roman"/>
          <w:color w:val="auto"/>
          <w:kern w:val="2"/>
          <w:sz w:val="28"/>
          <w:szCs w:val="28"/>
          <w:lang w:val="en-US" w:eastAsia="zh-CN" w:bidi="ar-SA"/>
        </w:rPr>
        <w:t>，全长4km，沿路主要为鲍旗寨村、白鹿原·白鹿仓、狄寨村，主要为旅游或本地车辆及果品等农作物运输车辆。</w:t>
      </w:r>
    </w:p>
    <w:p w14:paraId="37E5B67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color w:val="auto"/>
          <w:kern w:val="2"/>
          <w:sz w:val="28"/>
          <w:szCs w:val="28"/>
          <w:lang w:val="en-US" w:eastAsia="zh-CN" w:bidi="ar-SA"/>
        </w:rPr>
      </w:pPr>
      <w:r>
        <w:rPr>
          <w:rFonts w:hint="eastAsia" w:ascii="Times New Roman" w:hAnsi="Times New Roman" w:cs="Times New Roman"/>
          <w:color w:val="auto"/>
          <w:kern w:val="2"/>
          <w:sz w:val="28"/>
          <w:szCs w:val="28"/>
          <w:lang w:val="en-US" w:eastAsia="zh-CN" w:bidi="ar-SA"/>
        </w:rPr>
        <w:t>狄寨村村道</w:t>
      </w:r>
    </w:p>
    <w:p w14:paraId="30D466F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color w:val="auto"/>
          <w:kern w:val="2"/>
          <w:sz w:val="28"/>
          <w:szCs w:val="28"/>
          <w:lang w:val="en-US" w:eastAsia="zh-CN" w:bidi="ar-SA"/>
        </w:rPr>
      </w:pPr>
      <w:r>
        <w:rPr>
          <w:rFonts w:hint="eastAsia" w:ascii="Times New Roman" w:hAnsi="Times New Roman" w:cs="Times New Roman"/>
          <w:color w:val="auto"/>
          <w:kern w:val="2"/>
          <w:sz w:val="28"/>
          <w:szCs w:val="28"/>
          <w:lang w:val="en-US" w:eastAsia="zh-CN" w:bidi="ar-SA"/>
        </w:rPr>
        <w:t>1#井南侧及2#井西侧村道沿路主要为耕地，主要运输果品等农作物，无危险化学品运输车辆。</w:t>
      </w:r>
    </w:p>
    <w:p w14:paraId="674A4F70">
      <w:pPr>
        <w:pStyle w:val="12"/>
        <w:ind w:left="0" w:leftChars="0" w:firstLine="0" w:firstLineChars="0"/>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表2.7-2  水源地周边的流动源分布情况一览表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561"/>
        <w:gridCol w:w="916"/>
        <w:gridCol w:w="3833"/>
        <w:gridCol w:w="1597"/>
        <w:gridCol w:w="720"/>
      </w:tblGrid>
      <w:tr w14:paraId="0C3A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14:paraId="0B61E8A8">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序号</w:t>
            </w:r>
          </w:p>
        </w:tc>
        <w:tc>
          <w:tcPr>
            <w:tcW w:w="561" w:type="dxa"/>
            <w:vAlign w:val="center"/>
          </w:tcPr>
          <w:p w14:paraId="59D72502">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名称</w:t>
            </w:r>
          </w:p>
        </w:tc>
        <w:tc>
          <w:tcPr>
            <w:tcW w:w="916" w:type="dxa"/>
            <w:vAlign w:val="center"/>
          </w:tcPr>
          <w:p w14:paraId="506F36BD">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坐标</w:t>
            </w:r>
          </w:p>
        </w:tc>
        <w:tc>
          <w:tcPr>
            <w:tcW w:w="3833" w:type="dxa"/>
            <w:vAlign w:val="center"/>
          </w:tcPr>
          <w:p w14:paraId="4C8B2B6E">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现场照片</w:t>
            </w:r>
          </w:p>
        </w:tc>
        <w:tc>
          <w:tcPr>
            <w:tcW w:w="1597" w:type="dxa"/>
            <w:vAlign w:val="center"/>
          </w:tcPr>
          <w:p w14:paraId="5DA1202C">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备注</w:t>
            </w:r>
          </w:p>
        </w:tc>
        <w:tc>
          <w:tcPr>
            <w:tcW w:w="720" w:type="dxa"/>
            <w:vAlign w:val="center"/>
          </w:tcPr>
          <w:p w14:paraId="47FE0148">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距水源井距离</w:t>
            </w:r>
          </w:p>
        </w:tc>
      </w:tr>
      <w:tr w14:paraId="3A0E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Align w:val="center"/>
          </w:tcPr>
          <w:p w14:paraId="6D05B5BB">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1</w:t>
            </w:r>
          </w:p>
        </w:tc>
        <w:tc>
          <w:tcPr>
            <w:tcW w:w="561" w:type="dxa"/>
            <w:vAlign w:val="center"/>
          </w:tcPr>
          <w:p w14:paraId="70AB3194">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狄寨北路</w:t>
            </w:r>
          </w:p>
        </w:tc>
        <w:tc>
          <w:tcPr>
            <w:tcW w:w="916" w:type="dxa"/>
            <w:vAlign w:val="center"/>
          </w:tcPr>
          <w:p w14:paraId="7A721CE0">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E109.12543774°，N34.21174005°</w:t>
            </w:r>
          </w:p>
        </w:tc>
        <w:tc>
          <w:tcPr>
            <w:tcW w:w="3833" w:type="dxa"/>
            <w:vAlign w:val="center"/>
          </w:tcPr>
          <w:p w14:paraId="5FEF2568">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drawing>
                <wp:inline distT="0" distB="0" distL="114300" distR="114300">
                  <wp:extent cx="2284730" cy="3048000"/>
                  <wp:effectExtent l="0" t="0" r="1270" b="0"/>
                  <wp:docPr id="19" name="图片 19" descr="29d1eb93e52ae0acbb91448574d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9d1eb93e52ae0acbb91448574d0220"/>
                          <pic:cNvPicPr>
                            <a:picLocks noChangeAspect="1"/>
                          </pic:cNvPicPr>
                        </pic:nvPicPr>
                        <pic:blipFill>
                          <a:blip r:embed="rId26"/>
                          <a:stretch>
                            <a:fillRect/>
                          </a:stretch>
                        </pic:blipFill>
                        <pic:spPr>
                          <a:xfrm>
                            <a:off x="0" y="0"/>
                            <a:ext cx="2284730" cy="3048000"/>
                          </a:xfrm>
                          <a:prstGeom prst="rect">
                            <a:avLst/>
                          </a:prstGeom>
                        </pic:spPr>
                      </pic:pic>
                    </a:graphicData>
                  </a:graphic>
                </wp:inline>
              </w:drawing>
            </w:r>
          </w:p>
        </w:tc>
        <w:tc>
          <w:tcPr>
            <w:tcW w:w="1597" w:type="dxa"/>
            <w:vAlign w:val="center"/>
          </w:tcPr>
          <w:p w14:paraId="6DE157A6">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沿路主要为鲍旗寨村、白鹿原·白鹿仓、狄寨村，主要为旅游或本地车辆及果品等农作物运输车辆</w:t>
            </w:r>
          </w:p>
        </w:tc>
        <w:tc>
          <w:tcPr>
            <w:tcW w:w="720" w:type="dxa"/>
            <w:vAlign w:val="center"/>
          </w:tcPr>
          <w:p w14:paraId="5957E8C5">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距离水源2#井10m</w:t>
            </w:r>
          </w:p>
        </w:tc>
      </w:tr>
      <w:tr w14:paraId="08A3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Merge w:val="restart"/>
            <w:vAlign w:val="center"/>
          </w:tcPr>
          <w:p w14:paraId="39FA6FAA">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2</w:t>
            </w:r>
          </w:p>
        </w:tc>
        <w:tc>
          <w:tcPr>
            <w:tcW w:w="561" w:type="dxa"/>
            <w:vMerge w:val="restart"/>
            <w:vAlign w:val="center"/>
          </w:tcPr>
          <w:p w14:paraId="006F4980">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狄寨村村道</w:t>
            </w:r>
          </w:p>
        </w:tc>
        <w:tc>
          <w:tcPr>
            <w:tcW w:w="916" w:type="dxa"/>
            <w:vAlign w:val="center"/>
          </w:tcPr>
          <w:p w14:paraId="36D755CE">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E109.12875563°，N34.20857034°（1#井南侧）</w:t>
            </w:r>
          </w:p>
        </w:tc>
        <w:tc>
          <w:tcPr>
            <w:tcW w:w="3833" w:type="dxa"/>
            <w:vAlign w:val="center"/>
          </w:tcPr>
          <w:p w14:paraId="4A212A44">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drawing>
                <wp:inline distT="0" distB="0" distL="114300" distR="114300">
                  <wp:extent cx="2284730" cy="3048000"/>
                  <wp:effectExtent l="0" t="0" r="1270" b="0"/>
                  <wp:docPr id="18" name="图片 18" descr="308174e7aeda0746369af8087b4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8174e7aeda0746369af8087b42946"/>
                          <pic:cNvPicPr>
                            <a:picLocks noChangeAspect="1"/>
                          </pic:cNvPicPr>
                        </pic:nvPicPr>
                        <pic:blipFill>
                          <a:blip r:embed="rId27"/>
                          <a:stretch>
                            <a:fillRect/>
                          </a:stretch>
                        </pic:blipFill>
                        <pic:spPr>
                          <a:xfrm>
                            <a:off x="0" y="0"/>
                            <a:ext cx="2284730" cy="3048000"/>
                          </a:xfrm>
                          <a:prstGeom prst="rect">
                            <a:avLst/>
                          </a:prstGeom>
                        </pic:spPr>
                      </pic:pic>
                    </a:graphicData>
                  </a:graphic>
                </wp:inline>
              </w:drawing>
            </w:r>
          </w:p>
        </w:tc>
        <w:tc>
          <w:tcPr>
            <w:tcW w:w="1597" w:type="dxa"/>
            <w:vAlign w:val="center"/>
          </w:tcPr>
          <w:p w14:paraId="72E6C2B9">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村道沿路主要为耕地，主要运输果品等农作物，无危险化学品运输车辆。</w:t>
            </w:r>
          </w:p>
        </w:tc>
        <w:tc>
          <w:tcPr>
            <w:tcW w:w="720" w:type="dxa"/>
            <w:vAlign w:val="center"/>
          </w:tcPr>
          <w:p w14:paraId="52E3D30E">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距离水源1#井10m</w:t>
            </w:r>
          </w:p>
        </w:tc>
      </w:tr>
      <w:tr w14:paraId="6B06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vMerge w:val="continue"/>
            <w:vAlign w:val="center"/>
          </w:tcPr>
          <w:p w14:paraId="3CB8465E">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p>
        </w:tc>
        <w:tc>
          <w:tcPr>
            <w:tcW w:w="561" w:type="dxa"/>
            <w:vMerge w:val="continue"/>
            <w:vAlign w:val="center"/>
          </w:tcPr>
          <w:p w14:paraId="418D52BF">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p>
        </w:tc>
        <w:tc>
          <w:tcPr>
            <w:tcW w:w="916" w:type="dxa"/>
            <w:vAlign w:val="center"/>
          </w:tcPr>
          <w:p w14:paraId="0C4DD6C0">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E109.12537873°，N34.21191750°（2#西侧）</w:t>
            </w:r>
          </w:p>
        </w:tc>
        <w:tc>
          <w:tcPr>
            <w:tcW w:w="3833" w:type="dxa"/>
            <w:vAlign w:val="center"/>
          </w:tcPr>
          <w:p w14:paraId="447E8A03">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drawing>
                <wp:inline distT="0" distB="0" distL="114300" distR="114300">
                  <wp:extent cx="2284730" cy="3048000"/>
                  <wp:effectExtent l="0" t="0" r="1270" b="0"/>
                  <wp:docPr id="20" name="图片 20" descr="c466cbef89e864bef033c3d768b6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466cbef89e864bef033c3d768b6cfb"/>
                          <pic:cNvPicPr>
                            <a:picLocks noChangeAspect="1"/>
                          </pic:cNvPicPr>
                        </pic:nvPicPr>
                        <pic:blipFill>
                          <a:blip r:embed="rId28"/>
                          <a:stretch>
                            <a:fillRect/>
                          </a:stretch>
                        </pic:blipFill>
                        <pic:spPr>
                          <a:xfrm>
                            <a:off x="0" y="0"/>
                            <a:ext cx="2284730" cy="3048000"/>
                          </a:xfrm>
                          <a:prstGeom prst="rect">
                            <a:avLst/>
                          </a:prstGeom>
                        </pic:spPr>
                      </pic:pic>
                    </a:graphicData>
                  </a:graphic>
                </wp:inline>
              </w:drawing>
            </w:r>
          </w:p>
        </w:tc>
        <w:tc>
          <w:tcPr>
            <w:tcW w:w="1597" w:type="dxa"/>
            <w:vAlign w:val="center"/>
          </w:tcPr>
          <w:p w14:paraId="75FDB7A4">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村道沿路主要为耕地，主要运输果品等农作物，无危险化学品运输车辆。</w:t>
            </w:r>
          </w:p>
        </w:tc>
        <w:tc>
          <w:tcPr>
            <w:tcW w:w="720" w:type="dxa"/>
            <w:vAlign w:val="center"/>
          </w:tcPr>
          <w:p w14:paraId="3398A0CF">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距离水源2#井15m</w:t>
            </w:r>
          </w:p>
        </w:tc>
      </w:tr>
    </w:tbl>
    <w:p w14:paraId="3C3F610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2"/>
          <w:sz w:val="28"/>
          <w:szCs w:val="28"/>
          <w:lang w:val="en-US" w:eastAsia="zh-CN" w:bidi="ar-S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3016B01">
      <w:pPr>
        <w:pStyle w:val="4"/>
        <w:snapToGrid w:val="0"/>
        <w:spacing w:before="0" w:after="0"/>
        <w:outlineLvl w:val="1"/>
        <w:rPr>
          <w:rFonts w:hint="default" w:ascii="Times New Roman" w:hAnsi="Times New Roman" w:eastAsia="宋体" w:cs="Times New Roman"/>
          <w:color w:val="auto"/>
          <w:lang w:val="en-US" w:eastAsia="zh-CN"/>
        </w:rPr>
      </w:pPr>
      <w:bookmarkStart w:id="58" w:name="_Toc16059"/>
      <w:r>
        <w:rPr>
          <w:rFonts w:hint="default" w:ascii="Times New Roman" w:hAnsi="Times New Roman" w:cs="Times New Roman"/>
          <w:color w:val="auto"/>
          <w:lang w:val="en-US" w:eastAsia="zh-CN"/>
        </w:rPr>
        <w:t>2.</w:t>
      </w:r>
      <w:r>
        <w:rPr>
          <w:rFonts w:hint="eastAsia" w:cs="Times New Roman"/>
          <w:color w:val="auto"/>
          <w:lang w:val="en-US" w:eastAsia="zh-CN"/>
        </w:rPr>
        <w:t>8</w:t>
      </w:r>
      <w:r>
        <w:rPr>
          <w:rFonts w:hint="default" w:ascii="Times New Roman" w:hAnsi="Times New Roman" w:eastAsia="宋体" w:cs="Times New Roman"/>
          <w:color w:val="auto"/>
        </w:rPr>
        <w:t xml:space="preserve"> 饮用水</w:t>
      </w:r>
      <w:r>
        <w:rPr>
          <w:rFonts w:hint="default" w:ascii="Times New Roman" w:hAnsi="Times New Roman" w:cs="Times New Roman"/>
          <w:color w:val="auto"/>
          <w:lang w:val="en-US" w:eastAsia="zh-CN"/>
        </w:rPr>
        <w:t>水</w:t>
      </w:r>
      <w:r>
        <w:rPr>
          <w:rFonts w:hint="default" w:ascii="Times New Roman" w:hAnsi="Times New Roman" w:eastAsia="宋体" w:cs="Times New Roman"/>
          <w:color w:val="auto"/>
        </w:rPr>
        <w:t>源</w:t>
      </w:r>
      <w:r>
        <w:rPr>
          <w:rFonts w:hint="default" w:ascii="Times New Roman" w:hAnsi="Times New Roman" w:cs="Times New Roman"/>
          <w:color w:val="auto"/>
          <w:lang w:val="en-US" w:eastAsia="zh-CN"/>
        </w:rPr>
        <w:t>地水环境风险分析</w:t>
      </w:r>
      <w:bookmarkEnd w:id="58"/>
    </w:p>
    <w:p w14:paraId="4D633D53">
      <w:pPr>
        <w:pStyle w:val="4"/>
        <w:spacing w:before="120" w:after="120"/>
        <w:rPr>
          <w:rFonts w:hint="default" w:ascii="Times New Roman" w:hAnsi="Times New Roman" w:cs="Times New Roman"/>
          <w:color w:val="auto"/>
        </w:rPr>
      </w:pPr>
      <w:bookmarkStart w:id="59" w:name="_Toc42592568"/>
      <w:r>
        <w:rPr>
          <w:rFonts w:hint="default" w:ascii="Times New Roman" w:hAnsi="Times New Roman" w:cs="Times New Roman"/>
          <w:color w:val="auto"/>
        </w:rPr>
        <w:t>2.</w:t>
      </w:r>
      <w:r>
        <w:rPr>
          <w:rFonts w:hint="eastAsia" w:cs="Times New Roman"/>
          <w:color w:val="auto"/>
          <w:lang w:val="en-US" w:eastAsia="zh-CN"/>
        </w:rPr>
        <w:t>8</w:t>
      </w:r>
      <w:r>
        <w:rPr>
          <w:rFonts w:hint="default" w:ascii="Times New Roman" w:hAnsi="Times New Roman" w:cs="Times New Roman"/>
          <w:color w:val="auto"/>
        </w:rPr>
        <w:t>.1主要污染源及治理措施</w:t>
      </w:r>
      <w:bookmarkEnd w:id="59"/>
    </w:p>
    <w:p w14:paraId="7CCCECFF">
      <w:pPr>
        <w:ind w:firstLine="420"/>
        <w:rPr>
          <w:rFonts w:hint="default" w:ascii="Times New Roman" w:hAnsi="Times New Roman" w:cs="Times New Roman"/>
          <w:b/>
          <w:color w:val="auto"/>
          <w:sz w:val="28"/>
          <w:szCs w:val="28"/>
        </w:rPr>
      </w:pPr>
      <w:bookmarkStart w:id="60" w:name="_Toc468081890"/>
      <w:r>
        <w:rPr>
          <w:rFonts w:hint="default" w:ascii="Times New Roman" w:hAnsi="Times New Roman" w:cs="Times New Roman"/>
          <w:b/>
          <w:color w:val="auto"/>
          <w:sz w:val="28"/>
          <w:szCs w:val="28"/>
          <w:lang w:val="en-US" w:eastAsia="zh-CN"/>
        </w:rPr>
        <w:t>1</w:t>
      </w:r>
      <w:r>
        <w:rPr>
          <w:rFonts w:hint="default" w:ascii="Times New Roman" w:hAnsi="Times New Roman" w:cs="Times New Roman"/>
          <w:b/>
          <w:color w:val="auto"/>
          <w:sz w:val="28"/>
          <w:szCs w:val="28"/>
        </w:rPr>
        <w:t>、生活污水、生活垃圾</w:t>
      </w:r>
      <w:bookmarkEnd w:id="60"/>
    </w:p>
    <w:p w14:paraId="418ED2E7">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现场调查，</w:t>
      </w:r>
      <w:r>
        <w:rPr>
          <w:rFonts w:hint="default" w:ascii="Times New Roman" w:hAnsi="Times New Roman" w:cs="Times New Roman"/>
          <w:color w:val="auto"/>
          <w:sz w:val="28"/>
          <w:szCs w:val="28"/>
          <w:lang w:val="en-US" w:eastAsia="zh-CN"/>
        </w:rPr>
        <w:t>水源地附近的</w:t>
      </w:r>
      <w:r>
        <w:rPr>
          <w:rFonts w:hint="eastAsia" w:ascii="Times New Roman" w:hAnsi="Times New Roman" w:cs="Times New Roman"/>
          <w:color w:val="auto"/>
          <w:sz w:val="28"/>
          <w:szCs w:val="28"/>
          <w:lang w:val="en-US" w:eastAsia="zh-CN"/>
        </w:rPr>
        <w:t>村民</w:t>
      </w:r>
      <w:r>
        <w:rPr>
          <w:rFonts w:hint="default" w:ascii="Times New Roman" w:hAnsi="Times New Roman" w:cs="Times New Roman"/>
          <w:color w:val="auto"/>
          <w:sz w:val="28"/>
          <w:szCs w:val="28"/>
          <w:lang w:val="en-US" w:eastAsia="zh-CN"/>
        </w:rPr>
        <w:t>生活污水均进入</w:t>
      </w:r>
      <w:r>
        <w:rPr>
          <w:rFonts w:hint="eastAsia" w:ascii="Times New Roman" w:hAnsi="Times New Roman" w:cs="Times New Roman"/>
          <w:color w:val="auto"/>
          <w:sz w:val="28"/>
          <w:szCs w:val="28"/>
          <w:lang w:val="en-US" w:eastAsia="zh-CN"/>
        </w:rPr>
        <w:t>市政</w:t>
      </w:r>
      <w:r>
        <w:rPr>
          <w:rFonts w:hint="default" w:ascii="Times New Roman" w:hAnsi="Times New Roman" w:cs="Times New Roman"/>
          <w:color w:val="auto"/>
          <w:sz w:val="28"/>
          <w:szCs w:val="28"/>
          <w:lang w:val="en-US" w:eastAsia="zh-CN"/>
        </w:rPr>
        <w:t>污水管道</w:t>
      </w:r>
      <w:r>
        <w:rPr>
          <w:rFonts w:hint="default" w:ascii="Times New Roman" w:hAnsi="Times New Roman" w:cs="Times New Roman"/>
          <w:color w:val="auto"/>
          <w:sz w:val="28"/>
          <w:szCs w:val="28"/>
        </w:rPr>
        <w:t>。生活垃圾均采用垃圾箱收集，通过垃圾转运系统转运至垃圾填埋场填埋处置。</w:t>
      </w:r>
    </w:p>
    <w:p w14:paraId="325FF38F">
      <w:pPr>
        <w:pStyle w:val="10"/>
        <w:rPr>
          <w:rFonts w:hint="default" w:ascii="Times New Roman" w:hAnsi="Times New Roman" w:cs="Times New Roman"/>
          <w:b/>
          <w:bCs/>
          <w:color w:val="auto"/>
        </w:rPr>
      </w:pPr>
      <w:r>
        <w:rPr>
          <w:rFonts w:hint="eastAsia" w:ascii="Times New Roman" w:hAnsi="Times New Roman" w:cs="Times New Roman"/>
          <w:b/>
          <w:bCs/>
          <w:color w:val="auto"/>
          <w:lang w:val="en-US" w:eastAsia="zh-CN"/>
        </w:rPr>
        <w:t>2</w:t>
      </w:r>
      <w:r>
        <w:rPr>
          <w:rFonts w:hint="default" w:ascii="Times New Roman" w:hAnsi="Times New Roman" w:cs="Times New Roman"/>
          <w:b/>
          <w:bCs/>
          <w:color w:val="auto"/>
        </w:rPr>
        <w:t>、工业污染源</w:t>
      </w:r>
    </w:p>
    <w:p w14:paraId="290E8E5C">
      <w:pPr>
        <w:pStyle w:val="10"/>
        <w:rPr>
          <w:rFonts w:hint="default" w:ascii="Times New Roman" w:hAnsi="Times New Roman" w:cs="Times New Roman"/>
          <w:color w:val="auto"/>
          <w:szCs w:val="28"/>
          <w:lang w:val="en-US" w:eastAsia="zh-CN"/>
        </w:rPr>
      </w:pPr>
      <w:r>
        <w:rPr>
          <w:rFonts w:hint="default" w:ascii="Times New Roman" w:hAnsi="Times New Roman" w:cs="Times New Roman"/>
          <w:color w:val="auto"/>
          <w:szCs w:val="28"/>
        </w:rPr>
        <w:t>根据现场调查，</w:t>
      </w:r>
      <w:r>
        <w:rPr>
          <w:rFonts w:hint="eastAsia" w:ascii="Times New Roman" w:hAnsi="Times New Roman" w:cs="Times New Roman"/>
          <w:color w:val="auto"/>
          <w:szCs w:val="28"/>
          <w:lang w:val="en-US" w:eastAsia="zh-CN"/>
        </w:rPr>
        <w:t>水源地周围无工矿企业。</w:t>
      </w:r>
    </w:p>
    <w:p w14:paraId="2156D029">
      <w:pPr>
        <w:pStyle w:val="4"/>
        <w:spacing w:before="120" w:after="120"/>
        <w:rPr>
          <w:rFonts w:hint="default" w:ascii="Times New Roman" w:hAnsi="Times New Roman" w:cs="Times New Roman"/>
          <w:color w:val="auto"/>
        </w:rPr>
      </w:pPr>
      <w:bookmarkStart w:id="61" w:name="_Toc525250331"/>
      <w:bookmarkStart w:id="62" w:name="_Toc42592569"/>
      <w:r>
        <w:rPr>
          <w:rFonts w:hint="default" w:ascii="Times New Roman" w:hAnsi="Times New Roman" w:cs="Times New Roman"/>
          <w:color w:val="auto"/>
        </w:rPr>
        <w:t>2.</w:t>
      </w:r>
      <w:r>
        <w:rPr>
          <w:rFonts w:hint="eastAsia" w:cs="Times New Roman"/>
          <w:color w:val="auto"/>
          <w:lang w:val="en-US" w:eastAsia="zh-CN"/>
        </w:rPr>
        <w:t>8</w:t>
      </w:r>
      <w:r>
        <w:rPr>
          <w:rFonts w:hint="default" w:ascii="Times New Roman" w:hAnsi="Times New Roman" w:cs="Times New Roman"/>
          <w:color w:val="auto"/>
        </w:rPr>
        <w:t>.2环境风险</w:t>
      </w:r>
      <w:bookmarkEnd w:id="61"/>
      <w:bookmarkEnd w:id="62"/>
    </w:p>
    <w:p w14:paraId="433794F5">
      <w:pPr>
        <w:pStyle w:val="12"/>
        <w:keepNext w:val="0"/>
        <w:keepLines w:val="0"/>
        <w:pageBreakBefore w:val="0"/>
        <w:widowControl w:val="0"/>
        <w:kinsoku/>
        <w:wordWrap/>
        <w:overflowPunct/>
        <w:topLinePunct w:val="0"/>
        <w:autoSpaceDE/>
        <w:autoSpaceDN/>
        <w:bidi w:val="0"/>
        <w:adjustRightInd/>
        <w:snapToGrid w:val="0"/>
        <w:ind w:left="0" w:leftChars="0" w:firstLine="560" w:firstLineChars="200"/>
        <w:jc w:val="both"/>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根据现场调查，水源地周边无化工等原料或产品输送管道以及地下油罐</w:t>
      </w:r>
      <w:r>
        <w:rPr>
          <w:rFonts w:hint="eastAsia" w:ascii="Times New Roman" w:hAnsi="Times New Roman" w:eastAsia="宋体"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矿山等典型污染源。水源地周边较近道路均不运输有毒有害物及危险化学品的车辆</w:t>
      </w:r>
      <w:r>
        <w:rPr>
          <w:rFonts w:hint="eastAsia" w:ascii="Times New Roman" w:hAnsi="Times New Roman" w:eastAsia="宋体" w:cs="Times New Roman"/>
          <w:color w:val="auto"/>
          <w:kern w:val="2"/>
          <w:sz w:val="28"/>
          <w:szCs w:val="28"/>
          <w:lang w:val="en-US" w:eastAsia="zh-CN" w:bidi="ar-SA"/>
        </w:rPr>
        <w:t>，且没有污水管线敷设</w:t>
      </w:r>
      <w:r>
        <w:rPr>
          <w:rFonts w:hint="default" w:ascii="Times New Roman" w:hAnsi="Times New Roman" w:eastAsia="宋体" w:cs="Times New Roman"/>
          <w:color w:val="auto"/>
          <w:kern w:val="2"/>
          <w:sz w:val="28"/>
          <w:szCs w:val="28"/>
          <w:lang w:val="en-US" w:eastAsia="zh-CN" w:bidi="ar-SA"/>
        </w:rPr>
        <w:t>。</w:t>
      </w:r>
      <w:r>
        <w:rPr>
          <w:rFonts w:hint="eastAsia" w:ascii="Times New Roman" w:hAnsi="Times New Roman" w:eastAsia="宋体" w:cs="宋体"/>
          <w:color w:val="auto"/>
          <w:kern w:val="2"/>
          <w:sz w:val="28"/>
          <w:szCs w:val="28"/>
        </w:rPr>
        <w:t>但水源地周边存在的</w:t>
      </w:r>
      <w:r>
        <w:rPr>
          <w:rFonts w:hint="eastAsia" w:ascii="Times New Roman" w:hAnsi="Times New Roman" w:eastAsia="宋体" w:cs="宋体"/>
          <w:color w:val="auto"/>
          <w:kern w:val="2"/>
          <w:sz w:val="28"/>
          <w:szCs w:val="28"/>
          <w:lang w:val="en-US" w:eastAsia="zh-CN"/>
        </w:rPr>
        <w:t>村民生活产生</w:t>
      </w:r>
      <w:r>
        <w:rPr>
          <w:rFonts w:hint="eastAsia" w:ascii="Times New Roman" w:hAnsi="Times New Roman" w:eastAsia="宋体" w:cs="宋体"/>
          <w:color w:val="auto"/>
          <w:kern w:val="2"/>
          <w:sz w:val="28"/>
          <w:szCs w:val="28"/>
        </w:rPr>
        <w:t>的</w:t>
      </w:r>
      <w:r>
        <w:rPr>
          <w:rFonts w:hint="eastAsia" w:ascii="Times New Roman" w:hAnsi="Times New Roman" w:eastAsia="宋体" w:cs="宋体"/>
          <w:color w:val="auto"/>
          <w:kern w:val="2"/>
          <w:sz w:val="28"/>
          <w:szCs w:val="28"/>
          <w:lang w:val="en-US" w:eastAsia="zh-CN"/>
        </w:rPr>
        <w:t>污水</w:t>
      </w:r>
      <w:r>
        <w:rPr>
          <w:rFonts w:hint="eastAsia" w:ascii="Times New Roman" w:hAnsi="Times New Roman" w:eastAsia="宋体" w:cs="宋体"/>
          <w:color w:val="auto"/>
          <w:kern w:val="2"/>
          <w:sz w:val="28"/>
          <w:szCs w:val="28"/>
        </w:rPr>
        <w:t>和固体废物，处置不当可能对地下水有影响，应重点加强对</w:t>
      </w:r>
      <w:r>
        <w:rPr>
          <w:rFonts w:hint="eastAsia" w:ascii="Times New Roman" w:hAnsi="Times New Roman" w:eastAsia="宋体" w:cs="宋体"/>
          <w:color w:val="auto"/>
          <w:kern w:val="2"/>
          <w:sz w:val="28"/>
          <w:szCs w:val="28"/>
          <w:lang w:val="en-US" w:eastAsia="zh-CN"/>
        </w:rPr>
        <w:t>生活污水的管理</w:t>
      </w:r>
      <w:r>
        <w:rPr>
          <w:rFonts w:hint="eastAsia" w:ascii="Times New Roman" w:hAnsi="Times New Roman" w:eastAsia="宋体" w:cs="宋体"/>
          <w:color w:val="auto"/>
          <w:kern w:val="2"/>
          <w:sz w:val="28"/>
          <w:szCs w:val="28"/>
        </w:rPr>
        <w:t>，严格按规范要求暂存、处置固体废物。</w:t>
      </w:r>
    </w:p>
    <w:p w14:paraId="4ECBAF73">
      <w:pPr>
        <w:pStyle w:val="4"/>
        <w:spacing w:before="120" w:after="120"/>
        <w:rPr>
          <w:rFonts w:hint="default" w:ascii="Times New Roman" w:hAnsi="Times New Roman" w:cs="Times New Roman"/>
          <w:color w:val="auto"/>
        </w:rPr>
      </w:pPr>
      <w:bookmarkStart w:id="63" w:name="_Toc525250332"/>
      <w:bookmarkStart w:id="64" w:name="_Toc468081891"/>
      <w:bookmarkStart w:id="65" w:name="_Toc42592570"/>
      <w:r>
        <w:rPr>
          <w:rFonts w:hint="default" w:ascii="Times New Roman" w:hAnsi="Times New Roman" w:cs="Times New Roman"/>
          <w:color w:val="auto"/>
        </w:rPr>
        <w:t>2.</w:t>
      </w:r>
      <w:r>
        <w:rPr>
          <w:rFonts w:hint="eastAsia" w:cs="Times New Roman"/>
          <w:color w:val="auto"/>
          <w:lang w:val="en-US" w:eastAsia="zh-CN"/>
        </w:rPr>
        <w:t>8</w:t>
      </w:r>
      <w:r>
        <w:rPr>
          <w:rFonts w:hint="default" w:ascii="Times New Roman" w:hAnsi="Times New Roman" w:cs="Times New Roman"/>
          <w:color w:val="auto"/>
        </w:rPr>
        <w:t>.3小结</w:t>
      </w:r>
      <w:bookmarkEnd w:id="63"/>
      <w:bookmarkEnd w:id="64"/>
      <w:bookmarkEnd w:id="65"/>
    </w:p>
    <w:p w14:paraId="43BDE811">
      <w:pPr>
        <w:pStyle w:val="12"/>
        <w:keepNext w:val="0"/>
        <w:keepLines w:val="0"/>
        <w:pageBreakBefore w:val="0"/>
        <w:widowControl w:val="0"/>
        <w:kinsoku/>
        <w:wordWrap/>
        <w:overflowPunct/>
        <w:topLinePunct w:val="0"/>
        <w:autoSpaceDE/>
        <w:autoSpaceDN/>
        <w:bidi w:val="0"/>
        <w:adjustRightInd/>
        <w:snapToGrid w:val="0"/>
        <w:ind w:left="0" w:leftChars="0" w:firstLine="560" w:firstLineChars="200"/>
        <w:jc w:val="both"/>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从目前看，</w:t>
      </w:r>
      <w:r>
        <w:rPr>
          <w:rFonts w:hint="eastAsia" w:ascii="Times New Roman" w:hAnsi="Times New Roman" w:eastAsia="宋体" w:cs="Times New Roman"/>
          <w:color w:val="auto"/>
          <w:kern w:val="2"/>
          <w:sz w:val="28"/>
          <w:szCs w:val="28"/>
          <w:lang w:val="en-US" w:eastAsia="zh-CN" w:bidi="ar-SA"/>
        </w:rPr>
        <w:t>西安市灞桥区狄寨街道狄寨村</w:t>
      </w:r>
      <w:r>
        <w:rPr>
          <w:rFonts w:hint="default" w:ascii="Times New Roman" w:hAnsi="Times New Roman" w:eastAsia="宋体" w:cs="Times New Roman"/>
          <w:color w:val="auto"/>
          <w:kern w:val="2"/>
          <w:sz w:val="28"/>
          <w:szCs w:val="28"/>
          <w:lang w:val="en-US" w:eastAsia="zh-CN" w:bidi="ar-SA"/>
        </w:rPr>
        <w:t>饮用水水源地保护区范围内以</w:t>
      </w:r>
      <w:r>
        <w:rPr>
          <w:rFonts w:hint="eastAsia" w:ascii="Times New Roman" w:hAnsi="Times New Roman" w:eastAsia="宋体" w:cs="Times New Roman"/>
          <w:color w:val="auto"/>
          <w:kern w:val="2"/>
          <w:sz w:val="28"/>
          <w:szCs w:val="28"/>
          <w:lang w:val="en-US" w:eastAsia="zh-CN" w:bidi="ar-SA"/>
        </w:rPr>
        <w:t>村民宅基地</w:t>
      </w:r>
      <w:r>
        <w:rPr>
          <w:rFonts w:hint="default" w:ascii="Times New Roman" w:hAnsi="Times New Roman" w:eastAsia="宋体" w:cs="Times New Roman"/>
          <w:color w:val="auto"/>
          <w:kern w:val="2"/>
          <w:sz w:val="28"/>
          <w:szCs w:val="28"/>
          <w:lang w:val="en-US" w:eastAsia="zh-CN" w:bidi="ar-SA"/>
        </w:rPr>
        <w:t>、农田为主，无</w:t>
      </w:r>
      <w:r>
        <w:rPr>
          <w:rFonts w:hint="eastAsia" w:ascii="Times New Roman" w:hAnsi="Times New Roman" w:eastAsia="宋体" w:cs="Times New Roman"/>
          <w:color w:val="auto"/>
          <w:kern w:val="2"/>
          <w:sz w:val="28"/>
          <w:szCs w:val="28"/>
          <w:lang w:val="en-US" w:eastAsia="zh-CN" w:bidi="ar-SA"/>
        </w:rPr>
        <w:t>工况企业，无分散式畜禽养殖</w:t>
      </w:r>
      <w:r>
        <w:rPr>
          <w:rFonts w:hint="default" w:ascii="Times New Roman" w:hAnsi="Times New Roman" w:eastAsia="宋体" w:cs="Times New Roman"/>
          <w:color w:val="auto"/>
          <w:kern w:val="2"/>
          <w:sz w:val="28"/>
          <w:szCs w:val="28"/>
          <w:lang w:val="en-US" w:eastAsia="zh-CN" w:bidi="ar-SA"/>
        </w:rPr>
        <w:t>。居民</w:t>
      </w:r>
      <w:r>
        <w:rPr>
          <w:rFonts w:hint="eastAsia" w:ascii="Times New Roman" w:hAnsi="Times New Roman" w:eastAsia="宋体" w:cs="Times New Roman"/>
          <w:color w:val="auto"/>
          <w:kern w:val="2"/>
          <w:sz w:val="28"/>
          <w:szCs w:val="28"/>
          <w:lang w:val="en-US" w:eastAsia="zh-CN" w:bidi="ar-SA"/>
        </w:rPr>
        <w:t>生活污水</w:t>
      </w:r>
      <w:r>
        <w:rPr>
          <w:rFonts w:hint="default" w:ascii="Times New Roman" w:hAnsi="Times New Roman" w:eastAsia="宋体" w:cs="Times New Roman"/>
          <w:color w:val="auto"/>
          <w:kern w:val="2"/>
          <w:sz w:val="28"/>
          <w:szCs w:val="28"/>
          <w:lang w:val="en-US" w:eastAsia="zh-CN" w:bidi="ar-SA"/>
        </w:rPr>
        <w:t>通过市政管网</w:t>
      </w:r>
      <w:r>
        <w:rPr>
          <w:rFonts w:hint="eastAsia" w:ascii="Times New Roman" w:hAnsi="Times New Roman" w:eastAsia="宋体" w:cs="Times New Roman"/>
          <w:color w:val="auto"/>
          <w:kern w:val="2"/>
          <w:sz w:val="28"/>
          <w:szCs w:val="28"/>
          <w:lang w:val="en-US" w:eastAsia="zh-CN" w:bidi="ar-SA"/>
        </w:rPr>
        <w:t>排入污水处理厂</w:t>
      </w:r>
      <w:r>
        <w:rPr>
          <w:rFonts w:hint="default" w:ascii="Times New Roman" w:hAnsi="Times New Roman" w:eastAsia="宋体" w:cs="Times New Roman"/>
          <w:color w:val="auto"/>
          <w:kern w:val="2"/>
          <w:sz w:val="28"/>
          <w:szCs w:val="28"/>
          <w:lang w:val="en-US" w:eastAsia="zh-CN" w:bidi="ar-SA"/>
        </w:rPr>
        <w:t>，废水不外排。生活垃圾依托垃圾处理系统集中收集合理处置，对水环境影响较小。</w:t>
      </w:r>
    </w:p>
    <w:p w14:paraId="22961C09">
      <w:pPr>
        <w:pStyle w:val="12"/>
        <w:ind w:left="0" w:leftChars="0" w:firstLine="0" w:firstLineChars="0"/>
        <w:jc w:val="both"/>
        <w:rPr>
          <w:rFonts w:hint="default" w:ascii="Times New Roman" w:hAnsi="Times New Roman" w:cs="Times New Roman"/>
          <w:color w:val="auto"/>
        </w:rPr>
      </w:pPr>
    </w:p>
    <w:p w14:paraId="071A864B">
      <w:pPr>
        <w:pStyle w:val="10"/>
        <w:ind w:left="0" w:leftChars="0" w:firstLine="0" w:firstLineChars="0"/>
        <w:rPr>
          <w:rFonts w:hint="default" w:ascii="Times New Roman" w:hAnsi="Times New Roman" w:cs="Times New Roman"/>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7BD1ABA">
      <w:pPr>
        <w:keepNext/>
        <w:keepLines/>
        <w:widowControl w:val="0"/>
        <w:spacing w:before="340" w:after="0" w:line="240" w:lineRule="atLeast"/>
        <w:jc w:val="center"/>
        <w:outlineLvl w:val="0"/>
        <w:rPr>
          <w:rFonts w:hint="default" w:ascii="Times New Roman" w:hAnsi="Times New Roman" w:cs="Times New Roman"/>
          <w:color w:val="auto"/>
          <w:sz w:val="28"/>
          <w:szCs w:val="28"/>
        </w:rPr>
      </w:pPr>
      <w:bookmarkStart w:id="66" w:name="_Toc456339279"/>
      <w:bookmarkStart w:id="67" w:name="_Toc456351926"/>
      <w:bookmarkStart w:id="68" w:name="_Toc462134881"/>
      <w:bookmarkStart w:id="69" w:name="_Toc26707"/>
      <w:bookmarkStart w:id="70" w:name="_Toc10568"/>
      <w:bookmarkStart w:id="71" w:name="_Toc463685539"/>
      <w:bookmarkStart w:id="72" w:name="_Toc456352052"/>
      <w:r>
        <w:rPr>
          <w:rFonts w:hint="default" w:ascii="Times New Roman" w:hAnsi="Times New Roman" w:eastAsia="宋体" w:cs="Times New Roman"/>
          <w:b/>
          <w:bCs/>
          <w:color w:val="auto"/>
          <w:kern w:val="44"/>
          <w:sz w:val="36"/>
          <w:szCs w:val="44"/>
          <w:lang w:val="en-US" w:eastAsia="zh-CN" w:bidi="ar-SA"/>
        </w:rPr>
        <w:t>三、集中式饮用水水源保护区划分</w:t>
      </w:r>
      <w:bookmarkEnd w:id="66"/>
      <w:bookmarkEnd w:id="67"/>
      <w:bookmarkEnd w:id="68"/>
      <w:bookmarkEnd w:id="69"/>
      <w:bookmarkEnd w:id="70"/>
      <w:bookmarkEnd w:id="71"/>
      <w:bookmarkEnd w:id="72"/>
      <w:bookmarkStart w:id="73" w:name="_Toc513189376"/>
    </w:p>
    <w:p w14:paraId="4B795B33">
      <w:pPr>
        <w:pStyle w:val="3"/>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jc w:val="left"/>
        <w:textAlignment w:val="auto"/>
        <w:rPr>
          <w:rFonts w:hint="default" w:ascii="Times New Roman" w:hAnsi="Times New Roman" w:eastAsia="宋体" w:cs="Times New Roman"/>
          <w:b/>
          <w:color w:val="auto"/>
          <w:sz w:val="28"/>
          <w:szCs w:val="28"/>
        </w:rPr>
      </w:pPr>
      <w:bookmarkStart w:id="74" w:name="_Toc24133"/>
      <w:bookmarkStart w:id="75" w:name="_Toc42592572"/>
      <w:r>
        <w:rPr>
          <w:rFonts w:hint="default" w:ascii="Times New Roman" w:hAnsi="Times New Roman" w:eastAsia="宋体" w:cs="Times New Roman"/>
          <w:b/>
          <w:color w:val="auto"/>
          <w:sz w:val="28"/>
          <w:szCs w:val="28"/>
        </w:rPr>
        <w:t>3.1饮用水水源保护区划分技术方法</w:t>
      </w:r>
      <w:bookmarkEnd w:id="73"/>
      <w:bookmarkEnd w:id="74"/>
      <w:bookmarkEnd w:id="75"/>
    </w:p>
    <w:p w14:paraId="24AB1AB3">
      <w:pPr>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本次区划以《中华人民共和国水污染防治法》、《饮用水水源保护区污染防治管理规定》为主要依据，按照国家环境保护总局编制的《饮用水水源保护区划分规范》（HJ/T338-2018）、《陕西省城市饮用水水源保护区环境保护条例2002》对</w:t>
      </w:r>
      <w:r>
        <w:rPr>
          <w:rFonts w:hint="eastAsia" w:ascii="Times New Roman" w:hAnsi="Times New Roman" w:cs="Times New Roman"/>
          <w:color w:val="auto"/>
          <w:sz w:val="28"/>
          <w:szCs w:val="28"/>
          <w:lang w:val="en-US" w:eastAsia="zh-CN"/>
        </w:rPr>
        <w:t>西安市灞桥区狄寨街道狄寨村</w:t>
      </w:r>
      <w:r>
        <w:rPr>
          <w:rFonts w:hint="default" w:ascii="Times New Roman" w:hAnsi="Times New Roman" w:cs="Times New Roman"/>
          <w:color w:val="auto"/>
          <w:sz w:val="28"/>
          <w:szCs w:val="28"/>
          <w:lang w:val="en-US" w:eastAsia="zh-CN"/>
        </w:rPr>
        <w:t>水源</w:t>
      </w:r>
      <w:r>
        <w:rPr>
          <w:rFonts w:hint="eastAsia" w:ascii="Times New Roman" w:hAnsi="Times New Roman" w:cs="Times New Roman"/>
          <w:color w:val="auto"/>
          <w:sz w:val="28"/>
          <w:szCs w:val="28"/>
          <w:lang w:val="en-US" w:eastAsia="zh-CN"/>
        </w:rPr>
        <w:t>地</w:t>
      </w:r>
      <w:r>
        <w:rPr>
          <w:rFonts w:hint="default" w:ascii="Times New Roman" w:hAnsi="Times New Roman" w:cs="Times New Roman"/>
          <w:color w:val="auto"/>
          <w:sz w:val="28"/>
          <w:szCs w:val="28"/>
          <w:lang w:val="en-US" w:eastAsia="zh-CN"/>
        </w:rPr>
        <w:t>保护区开展划分工作。</w:t>
      </w:r>
    </w:p>
    <w:p w14:paraId="391F3CB7">
      <w:pPr>
        <w:pStyle w:val="10"/>
        <w:rPr>
          <w:rFonts w:hint="default"/>
          <w:color w:val="auto"/>
        </w:rPr>
      </w:pPr>
      <w:r>
        <w:rPr>
          <w:rFonts w:hint="default"/>
          <w:color w:val="auto"/>
        </w:rPr>
        <w:t>饮用水水源地（包括备用的和规划的）都应该设置饮用水水源保护区；按照不同的水质标准和防护要求，饮用水水源保护区一般划分为一级保护区和二级保护区，必要时可增设准保护区。</w:t>
      </w:r>
    </w:p>
    <w:p w14:paraId="52FFD275">
      <w:pPr>
        <w:pStyle w:val="4"/>
        <w:keepNext/>
        <w:keepLines/>
        <w:pageBreakBefore w:val="0"/>
        <w:widowControl w:val="0"/>
        <w:kinsoku/>
        <w:wordWrap/>
        <w:overflowPunct/>
        <w:topLinePunct w:val="0"/>
        <w:autoSpaceDE/>
        <w:autoSpaceDN/>
        <w:bidi w:val="0"/>
        <w:adjustRightInd/>
        <w:snapToGrid/>
        <w:textAlignment w:val="auto"/>
        <w:outlineLvl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3.1.1饮用水水源保护区技术规范划分方法</w:t>
      </w:r>
    </w:p>
    <w:p w14:paraId="6CD529FD">
      <w:pPr>
        <w:spacing w:line="360" w:lineRule="auto"/>
        <w:ind w:firstLine="560" w:firstLineChars="200"/>
        <w:rPr>
          <w:rFonts w:hint="default" w:ascii="Times New Roman" w:hAnsi="Times New Roman" w:cs="Times New Roman"/>
          <w:color w:val="auto"/>
          <w:kern w:val="0"/>
          <w:sz w:val="28"/>
          <w:szCs w:val="28"/>
          <w:lang w:eastAsia="zh-CN"/>
        </w:rPr>
      </w:pPr>
      <w:r>
        <w:rPr>
          <w:rFonts w:hint="default" w:ascii="Times New Roman" w:hAnsi="Times New Roman" w:cs="Times New Roman"/>
          <w:color w:val="auto"/>
          <w:kern w:val="0"/>
          <w:sz w:val="28"/>
          <w:szCs w:val="28"/>
        </w:rPr>
        <w:t>根据《饮用水水源保护区划分技术规范》(HJ338-2018)</w:t>
      </w:r>
      <w:r>
        <w:rPr>
          <w:rFonts w:hint="default" w:ascii="Times New Roman" w:hAnsi="Times New Roman" w:cs="Times New Roman"/>
          <w:color w:val="auto"/>
          <w:kern w:val="0"/>
          <w:sz w:val="28"/>
          <w:szCs w:val="28"/>
          <w:lang w:eastAsia="zh-CN"/>
        </w:rPr>
        <w:t>，</w:t>
      </w:r>
      <w:r>
        <w:rPr>
          <w:rFonts w:hint="eastAsia" w:ascii="Times New Roman" w:hAnsi="Times New Roman" w:cs="Times New Roman"/>
          <w:color w:val="auto"/>
          <w:kern w:val="0"/>
          <w:sz w:val="28"/>
          <w:szCs w:val="28"/>
          <w:lang w:val="en-US" w:eastAsia="zh-CN"/>
        </w:rPr>
        <w:t>地下水饮用水</w:t>
      </w:r>
      <w:r>
        <w:rPr>
          <w:rFonts w:hint="default" w:ascii="Times New Roman" w:hAnsi="Times New Roman" w:cs="Times New Roman"/>
          <w:color w:val="auto"/>
          <w:kern w:val="0"/>
          <w:sz w:val="28"/>
          <w:szCs w:val="28"/>
          <w:lang w:eastAsia="zh-CN"/>
        </w:rPr>
        <w:t>水源保护区划分</w:t>
      </w:r>
      <w:r>
        <w:rPr>
          <w:rFonts w:hint="eastAsia" w:ascii="Times New Roman" w:hAnsi="Times New Roman" w:cs="Times New Roman"/>
          <w:color w:val="auto"/>
          <w:kern w:val="0"/>
          <w:sz w:val="28"/>
          <w:szCs w:val="28"/>
          <w:lang w:val="en-US" w:eastAsia="zh-CN"/>
        </w:rPr>
        <w:t>的技术方法主要有：</w:t>
      </w:r>
      <w:r>
        <w:rPr>
          <w:rFonts w:hint="default" w:ascii="Times New Roman" w:hAnsi="Times New Roman" w:cs="Times New Roman"/>
          <w:color w:val="auto"/>
          <w:kern w:val="0"/>
          <w:sz w:val="28"/>
          <w:szCs w:val="28"/>
          <w:lang w:eastAsia="zh-CN"/>
        </w:rPr>
        <w:t>经验</w:t>
      </w:r>
      <w:r>
        <w:rPr>
          <w:rFonts w:hint="default" w:ascii="Times New Roman" w:hAnsi="Times New Roman" w:cs="Times New Roman"/>
          <w:color w:val="auto"/>
          <w:kern w:val="0"/>
          <w:sz w:val="28"/>
          <w:szCs w:val="28"/>
        </w:rPr>
        <w:t>值</w:t>
      </w:r>
      <w:r>
        <w:rPr>
          <w:rFonts w:hint="default" w:ascii="Times New Roman" w:hAnsi="Times New Roman" w:cs="Times New Roman"/>
          <w:color w:val="auto"/>
          <w:kern w:val="0"/>
          <w:sz w:val="28"/>
          <w:szCs w:val="28"/>
          <w:lang w:eastAsia="zh-CN"/>
        </w:rPr>
        <w:t>法、经验</w:t>
      </w:r>
      <w:r>
        <w:rPr>
          <w:rFonts w:hint="eastAsia" w:ascii="Times New Roman" w:hAnsi="Times New Roman" w:cs="Times New Roman"/>
          <w:color w:val="auto"/>
          <w:kern w:val="0"/>
          <w:sz w:val="28"/>
          <w:szCs w:val="28"/>
          <w:lang w:val="en-US" w:eastAsia="zh-CN"/>
        </w:rPr>
        <w:t>公式</w:t>
      </w:r>
      <w:r>
        <w:rPr>
          <w:rFonts w:hint="default" w:ascii="Times New Roman" w:hAnsi="Times New Roman" w:cs="Times New Roman"/>
          <w:color w:val="auto"/>
          <w:kern w:val="0"/>
          <w:sz w:val="28"/>
          <w:szCs w:val="28"/>
          <w:lang w:eastAsia="zh-CN"/>
        </w:rPr>
        <w:t>法</w:t>
      </w:r>
      <w:r>
        <w:rPr>
          <w:rFonts w:hint="eastAsia" w:ascii="Times New Roman" w:hAnsi="Times New Roman" w:cs="Times New Roman"/>
          <w:color w:val="auto"/>
          <w:kern w:val="0"/>
          <w:sz w:val="28"/>
          <w:szCs w:val="28"/>
          <w:lang w:val="en-US" w:eastAsia="zh-CN"/>
        </w:rPr>
        <w:t>和</w:t>
      </w:r>
      <w:r>
        <w:rPr>
          <w:rFonts w:hint="default" w:ascii="Times New Roman" w:hAnsi="Times New Roman" w:cs="Times New Roman"/>
          <w:color w:val="auto"/>
          <w:kern w:val="0"/>
          <w:sz w:val="28"/>
          <w:szCs w:val="28"/>
          <w:lang w:eastAsia="zh-CN"/>
        </w:rPr>
        <w:t>数值模型计算法3种方法。</w:t>
      </w:r>
    </w:p>
    <w:p w14:paraId="3743AE83">
      <w:pPr>
        <w:spacing w:line="360" w:lineRule="auto"/>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本</w:t>
      </w:r>
      <w:r>
        <w:rPr>
          <w:rFonts w:hint="default" w:ascii="Times New Roman" w:hAnsi="Times New Roman" w:cs="Times New Roman"/>
          <w:color w:val="auto"/>
          <w:kern w:val="0"/>
          <w:sz w:val="28"/>
          <w:szCs w:val="28"/>
          <w:lang w:val="en-US" w:eastAsia="zh-CN"/>
        </w:rPr>
        <w:t>区域</w:t>
      </w:r>
      <w:r>
        <w:rPr>
          <w:rFonts w:hint="default" w:ascii="Times New Roman" w:hAnsi="Times New Roman" w:cs="Times New Roman"/>
          <w:color w:val="auto"/>
          <w:kern w:val="0"/>
          <w:sz w:val="28"/>
          <w:szCs w:val="28"/>
        </w:rPr>
        <w:t>涉及</w:t>
      </w:r>
      <w:r>
        <w:rPr>
          <w:rFonts w:hint="default" w:ascii="Times New Roman" w:hAnsi="Times New Roman" w:cs="Times New Roman"/>
          <w:color w:val="auto"/>
          <w:kern w:val="0"/>
          <w:sz w:val="28"/>
          <w:szCs w:val="28"/>
          <w:lang w:val="en-US" w:eastAsia="zh-CN"/>
        </w:rPr>
        <w:t>水源类型均为地下水</w:t>
      </w:r>
      <w:r>
        <w:rPr>
          <w:rFonts w:hint="eastAsia" w:ascii="Times New Roman" w:hAnsi="Times New Roman" w:cs="Times New Roman"/>
          <w:color w:val="auto"/>
          <w:kern w:val="0"/>
          <w:sz w:val="28"/>
          <w:szCs w:val="28"/>
          <w:lang w:val="en-US" w:eastAsia="zh-CN"/>
        </w:rPr>
        <w:t>饮用水</w:t>
      </w:r>
      <w:r>
        <w:rPr>
          <w:rFonts w:hint="default" w:ascii="Times New Roman" w:hAnsi="Times New Roman" w:cs="Times New Roman"/>
          <w:color w:val="auto"/>
          <w:kern w:val="0"/>
          <w:sz w:val="28"/>
          <w:szCs w:val="28"/>
          <w:lang w:val="en-US" w:eastAsia="zh-CN"/>
        </w:rPr>
        <w:t>水源，地下水类型</w:t>
      </w:r>
      <w:r>
        <w:rPr>
          <w:rFonts w:hint="default" w:ascii="Times New Roman" w:hAnsi="Times New Roman" w:cs="Times New Roman"/>
          <w:color w:val="auto"/>
          <w:kern w:val="0"/>
          <w:sz w:val="28"/>
          <w:szCs w:val="28"/>
        </w:rPr>
        <w:t>为孔隙水</w:t>
      </w:r>
      <w:r>
        <w:rPr>
          <w:rFonts w:hint="default" w:ascii="Times New Roman" w:hAnsi="Times New Roman" w:cs="Times New Roman"/>
          <w:color w:val="auto"/>
          <w:kern w:val="0"/>
          <w:sz w:val="28"/>
          <w:szCs w:val="28"/>
          <w:lang w:val="en-US" w:eastAsia="zh-CN"/>
        </w:rPr>
        <w:t>承压水类型</w:t>
      </w:r>
      <w:r>
        <w:rPr>
          <w:rFonts w:hint="default" w:ascii="Times New Roman" w:hAnsi="Times New Roman" w:cs="Times New Roman"/>
          <w:color w:val="auto"/>
          <w:kern w:val="0"/>
          <w:sz w:val="28"/>
          <w:szCs w:val="28"/>
        </w:rPr>
        <w:t>。由于水文相关资料不足，均采用经验值法进行划分</w:t>
      </w:r>
      <w:r>
        <w:rPr>
          <w:rFonts w:hint="default" w:ascii="Times New Roman" w:hAnsi="Times New Roman" w:cs="Times New Roman"/>
          <w:color w:val="auto"/>
          <w:kern w:val="0"/>
          <w:sz w:val="28"/>
          <w:szCs w:val="28"/>
          <w:lang w:eastAsia="zh-CN"/>
        </w:rPr>
        <w:t>，</w:t>
      </w:r>
      <w:r>
        <w:rPr>
          <w:rFonts w:hint="default" w:ascii="Times New Roman" w:hAnsi="Times New Roman" w:cs="Times New Roman"/>
          <w:color w:val="auto"/>
          <w:kern w:val="0"/>
          <w:sz w:val="28"/>
          <w:szCs w:val="28"/>
        </w:rPr>
        <w:t>具体划分规范方法如下：</w:t>
      </w:r>
    </w:p>
    <w:p w14:paraId="4C691C3E">
      <w:pPr>
        <w:spacing w:line="600" w:lineRule="exact"/>
        <w:ind w:firstLine="560" w:firstLineChars="200"/>
        <w:rPr>
          <w:rFonts w:hint="default" w:ascii="Times New Roman" w:hAnsi="Times New Roman" w:eastAsia="宋体" w:cs="Times New Roman"/>
          <w:color w:val="auto"/>
          <w:kern w:val="0"/>
          <w:sz w:val="28"/>
          <w:szCs w:val="28"/>
          <w:lang w:eastAsia="zh-CN"/>
        </w:rPr>
      </w:pPr>
      <w:r>
        <w:rPr>
          <w:rFonts w:hint="default" w:ascii="Times New Roman" w:hAnsi="Times New Roman" w:cs="Times New Roman"/>
          <w:color w:val="auto"/>
          <w:kern w:val="0"/>
          <w:sz w:val="28"/>
          <w:szCs w:val="28"/>
          <w:lang w:eastAsia="zh-CN"/>
        </w:rPr>
        <w:t>（</w:t>
      </w:r>
      <w:r>
        <w:rPr>
          <w:rFonts w:hint="default" w:ascii="Times New Roman" w:hAnsi="Times New Roman" w:cs="Times New Roman"/>
          <w:color w:val="auto"/>
          <w:kern w:val="0"/>
          <w:sz w:val="28"/>
          <w:szCs w:val="28"/>
          <w:lang w:val="en-US" w:eastAsia="zh-CN"/>
        </w:rPr>
        <w:t>1</w:t>
      </w:r>
      <w:r>
        <w:rPr>
          <w:rFonts w:hint="default" w:ascii="Times New Roman" w:hAnsi="Times New Roman" w:cs="Times New Roman"/>
          <w:color w:val="auto"/>
          <w:kern w:val="0"/>
          <w:sz w:val="28"/>
          <w:szCs w:val="28"/>
          <w:lang w:eastAsia="zh-CN"/>
        </w:rPr>
        <w:t>）孔隙水承压水型</w:t>
      </w:r>
      <w:r>
        <w:rPr>
          <w:rFonts w:hint="default" w:ascii="Times New Roman" w:hAnsi="Times New Roman" w:cs="Times New Roman"/>
          <w:color w:val="auto"/>
          <w:kern w:val="0"/>
          <w:sz w:val="28"/>
          <w:szCs w:val="28"/>
          <w:lang w:val="en-US" w:eastAsia="zh-CN"/>
        </w:rPr>
        <w:t>中小型</w:t>
      </w:r>
      <w:r>
        <w:rPr>
          <w:rFonts w:hint="default" w:ascii="Times New Roman" w:hAnsi="Times New Roman" w:cs="Times New Roman"/>
          <w:color w:val="auto"/>
          <w:kern w:val="0"/>
          <w:sz w:val="28"/>
          <w:szCs w:val="28"/>
          <w:lang w:eastAsia="zh-CN"/>
        </w:rPr>
        <w:t>水源保护区的划分方法</w:t>
      </w:r>
    </w:p>
    <w:p w14:paraId="4013279B">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lang w:eastAsia="ja-JP"/>
        </w:rPr>
        <w:t>①</w:t>
      </w:r>
      <w:r>
        <w:rPr>
          <w:rFonts w:hint="default" w:ascii="Times New Roman" w:hAnsi="Times New Roman" w:cs="Times New Roman"/>
          <w:color w:val="auto"/>
          <w:kern w:val="0"/>
          <w:sz w:val="28"/>
          <w:szCs w:val="28"/>
        </w:rPr>
        <w:t>一级保护区</w:t>
      </w:r>
    </w:p>
    <w:p w14:paraId="071FFB65">
      <w:pPr>
        <w:spacing w:line="600" w:lineRule="exact"/>
        <w:ind w:firstLine="560" w:firstLineChars="200"/>
        <w:rPr>
          <w:rFonts w:hint="default" w:ascii="Times New Roman" w:hAnsi="Times New Roman" w:eastAsia="宋体" w:cs="Times New Roman"/>
          <w:color w:val="auto"/>
          <w:kern w:val="0"/>
          <w:sz w:val="28"/>
          <w:szCs w:val="28"/>
          <w:lang w:val="en-US" w:eastAsia="zh-CN"/>
        </w:rPr>
      </w:pPr>
      <w:r>
        <w:rPr>
          <w:rFonts w:hint="default" w:ascii="Times New Roman" w:hAnsi="Times New Roman" w:cs="Times New Roman"/>
          <w:color w:val="auto"/>
          <w:kern w:val="0"/>
          <w:sz w:val="28"/>
          <w:szCs w:val="28"/>
          <w:lang w:val="en-US" w:eastAsia="zh-CN"/>
        </w:rPr>
        <w:t>将上部潜水的</w:t>
      </w:r>
      <w:r>
        <w:rPr>
          <w:rFonts w:hint="default" w:ascii="Times New Roman" w:hAnsi="Times New Roman" w:cs="Times New Roman"/>
          <w:color w:val="auto"/>
          <w:sz w:val="28"/>
          <w:szCs w:val="28"/>
        </w:rPr>
        <w:t>一级保护区作为承压水型水源地的一级保护区，划定方法同孔隙水潜水中小型水源地。</w:t>
      </w:r>
    </w:p>
    <w:p w14:paraId="2FFBC04C">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kern w:val="0"/>
          <w:sz w:val="28"/>
          <w:szCs w:val="28"/>
          <w:lang w:eastAsia="ja-JP"/>
        </w:rPr>
        <w:t>②</w:t>
      </w:r>
      <w:r>
        <w:rPr>
          <w:rFonts w:hint="default" w:ascii="Times New Roman" w:hAnsi="Times New Roman" w:cs="Times New Roman"/>
          <w:color w:val="auto"/>
          <w:kern w:val="0"/>
          <w:sz w:val="28"/>
          <w:szCs w:val="28"/>
        </w:rPr>
        <w:t>二级保护区</w:t>
      </w:r>
    </w:p>
    <w:p w14:paraId="657223A4">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不设二级保护区。</w:t>
      </w:r>
    </w:p>
    <w:p w14:paraId="51C515B4">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kern w:val="0"/>
          <w:sz w:val="28"/>
          <w:szCs w:val="28"/>
          <w:lang w:eastAsia="ja-JP"/>
        </w:rPr>
        <w:t>③</w:t>
      </w:r>
      <w:r>
        <w:rPr>
          <w:rFonts w:hint="default" w:ascii="Times New Roman" w:hAnsi="Times New Roman" w:cs="Times New Roman"/>
          <w:color w:val="auto"/>
          <w:kern w:val="0"/>
          <w:sz w:val="28"/>
          <w:szCs w:val="28"/>
        </w:rPr>
        <w:t>准保护区</w:t>
      </w:r>
    </w:p>
    <w:p w14:paraId="08C2A7F1">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将水源</w:t>
      </w:r>
      <w:r>
        <w:rPr>
          <w:rFonts w:hint="default" w:ascii="Times New Roman" w:hAnsi="Times New Roman" w:cs="Times New Roman"/>
          <w:color w:val="auto"/>
          <w:sz w:val="28"/>
          <w:szCs w:val="28"/>
        </w:rPr>
        <w:t>补给区化为准保护区。</w:t>
      </w:r>
    </w:p>
    <w:p w14:paraId="697E6CD3">
      <w:pPr>
        <w:spacing w:line="600" w:lineRule="exact"/>
        <w:ind w:firstLine="560" w:firstLineChars="200"/>
        <w:rPr>
          <w:rFonts w:hint="default" w:ascii="Times New Roman" w:hAnsi="Times New Roman" w:eastAsia="宋体" w:cs="Times New Roman"/>
          <w:color w:val="auto"/>
          <w:kern w:val="0"/>
          <w:sz w:val="28"/>
          <w:szCs w:val="28"/>
          <w:lang w:eastAsia="zh-CN"/>
        </w:rPr>
      </w:pPr>
      <w:r>
        <w:rPr>
          <w:rFonts w:hint="default" w:ascii="Times New Roman" w:hAnsi="Times New Roman" w:cs="Times New Roman"/>
          <w:color w:val="auto"/>
          <w:kern w:val="0"/>
          <w:sz w:val="28"/>
          <w:szCs w:val="28"/>
          <w:lang w:eastAsia="zh-CN"/>
        </w:rPr>
        <w:t>（</w:t>
      </w:r>
      <w:r>
        <w:rPr>
          <w:rFonts w:hint="default" w:ascii="Times New Roman" w:hAnsi="Times New Roman" w:cs="Times New Roman"/>
          <w:color w:val="auto"/>
          <w:kern w:val="0"/>
          <w:sz w:val="28"/>
          <w:szCs w:val="28"/>
          <w:lang w:val="en-US" w:eastAsia="zh-CN"/>
        </w:rPr>
        <w:t>2</w:t>
      </w:r>
      <w:r>
        <w:rPr>
          <w:rFonts w:hint="default" w:ascii="Times New Roman" w:hAnsi="Times New Roman" w:cs="Times New Roman"/>
          <w:color w:val="auto"/>
          <w:kern w:val="0"/>
          <w:sz w:val="28"/>
          <w:szCs w:val="28"/>
          <w:lang w:eastAsia="zh-CN"/>
        </w:rPr>
        <w:t>）孔隙水</w:t>
      </w:r>
      <w:r>
        <w:rPr>
          <w:rFonts w:hint="default" w:ascii="Times New Roman" w:hAnsi="Times New Roman" w:cs="Times New Roman"/>
          <w:color w:val="auto"/>
          <w:kern w:val="0"/>
          <w:sz w:val="28"/>
          <w:szCs w:val="28"/>
          <w:lang w:val="en-US" w:eastAsia="zh-CN"/>
        </w:rPr>
        <w:t>潜水</w:t>
      </w:r>
      <w:r>
        <w:rPr>
          <w:rFonts w:hint="default" w:ascii="Times New Roman" w:hAnsi="Times New Roman" w:cs="Times New Roman"/>
          <w:color w:val="auto"/>
          <w:kern w:val="0"/>
          <w:sz w:val="28"/>
          <w:szCs w:val="28"/>
          <w:lang w:eastAsia="zh-CN"/>
        </w:rPr>
        <w:t>型</w:t>
      </w:r>
      <w:r>
        <w:rPr>
          <w:rFonts w:hint="default" w:ascii="Times New Roman" w:hAnsi="Times New Roman" w:cs="Times New Roman"/>
          <w:color w:val="auto"/>
          <w:kern w:val="0"/>
          <w:sz w:val="28"/>
          <w:szCs w:val="28"/>
          <w:lang w:val="en-US" w:eastAsia="zh-CN"/>
        </w:rPr>
        <w:t>中小型</w:t>
      </w:r>
      <w:r>
        <w:rPr>
          <w:rFonts w:hint="default" w:ascii="Times New Roman" w:hAnsi="Times New Roman" w:cs="Times New Roman"/>
          <w:color w:val="auto"/>
          <w:kern w:val="0"/>
          <w:sz w:val="28"/>
          <w:szCs w:val="28"/>
          <w:lang w:eastAsia="zh-CN"/>
        </w:rPr>
        <w:t>水源保护区的划分方法</w:t>
      </w:r>
    </w:p>
    <w:p w14:paraId="2C2075D1">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lang w:eastAsia="ja-JP"/>
        </w:rPr>
        <w:t>①</w:t>
      </w:r>
      <w:r>
        <w:rPr>
          <w:rFonts w:hint="default" w:ascii="Times New Roman" w:hAnsi="Times New Roman" w:cs="Times New Roman"/>
          <w:color w:val="auto"/>
          <w:kern w:val="0"/>
          <w:sz w:val="28"/>
          <w:szCs w:val="28"/>
        </w:rPr>
        <w:t>一级保护区</w:t>
      </w:r>
    </w:p>
    <w:p w14:paraId="4DB33E14">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资料不足情况下，以开采井为中心，按表3.1-1所列的经验值R为半径的圆形区域。</w:t>
      </w:r>
    </w:p>
    <w:p w14:paraId="1B73DA78">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②二级保护区</w:t>
      </w:r>
    </w:p>
    <w:p w14:paraId="5043D3E6">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资料不足情况下，以开采井为中心，按表3.1-1所列的经验值R为半径的圆形区域。</w:t>
      </w:r>
    </w:p>
    <w:p w14:paraId="0C076D0E">
      <w:pPr>
        <w:widowControl/>
        <w:jc w:val="center"/>
        <w:rPr>
          <w:rFonts w:hint="default" w:ascii="Times New Roman" w:hAnsi="Times New Roman" w:cs="Times New Roman"/>
          <w:b/>
          <w:color w:val="auto"/>
          <w:sz w:val="24"/>
        </w:rPr>
      </w:pPr>
      <w:r>
        <w:rPr>
          <w:rFonts w:hint="default" w:ascii="Times New Roman" w:hAnsi="Times New Roman" w:cs="Times New Roman"/>
          <w:b/>
          <w:color w:val="auto"/>
          <w:sz w:val="24"/>
        </w:rPr>
        <w:t>表3.1-1  中小型潜水水源保护区范围经验值</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1"/>
        <w:gridCol w:w="2840"/>
      </w:tblGrid>
      <w:tr w14:paraId="1BE22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2841" w:type="dxa"/>
            <w:noWrap w:val="0"/>
            <w:vAlign w:val="center"/>
          </w:tcPr>
          <w:p w14:paraId="771DD87F">
            <w:pPr>
              <w:keepNext w:val="0"/>
              <w:keepLines w:val="0"/>
              <w:suppressLineNumbers w:val="0"/>
              <w:spacing w:before="0" w:beforeAutospacing="0" w:after="0" w:afterAutospacing="0" w:line="600" w:lineRule="exact"/>
              <w:ind w:left="0" w:right="0" w:firstLine="200"/>
              <w:jc w:val="center"/>
              <w:rPr>
                <w:rFonts w:hint="default" w:ascii="Times New Roman" w:hAnsi="Times New Roman" w:cs="Times New Roman"/>
                <w:color w:val="auto"/>
                <w:sz w:val="24"/>
              </w:rPr>
            </w:pPr>
            <w:r>
              <w:rPr>
                <w:rFonts w:hint="default" w:ascii="Times New Roman" w:hAnsi="Times New Roman" w:cs="Times New Roman"/>
                <w:color w:val="auto"/>
                <w:sz w:val="24"/>
              </w:rPr>
              <w:t>介质类型</w:t>
            </w:r>
          </w:p>
        </w:tc>
        <w:tc>
          <w:tcPr>
            <w:tcW w:w="2841" w:type="dxa"/>
            <w:noWrap w:val="0"/>
            <w:vAlign w:val="center"/>
          </w:tcPr>
          <w:p w14:paraId="5D4B4698">
            <w:pPr>
              <w:keepNext w:val="0"/>
              <w:keepLines w:val="0"/>
              <w:suppressLineNumbers w:val="0"/>
              <w:spacing w:before="0" w:beforeAutospacing="0" w:after="0" w:afterAutospacing="0" w:line="600" w:lineRule="exact"/>
              <w:ind w:left="0" w:right="0" w:firstLine="200"/>
              <w:jc w:val="center"/>
              <w:rPr>
                <w:rFonts w:hint="default" w:ascii="Times New Roman" w:hAnsi="Times New Roman" w:cs="Times New Roman"/>
                <w:color w:val="auto"/>
                <w:sz w:val="24"/>
              </w:rPr>
            </w:pPr>
            <w:r>
              <w:rPr>
                <w:rFonts w:hint="default" w:ascii="Times New Roman" w:hAnsi="Times New Roman" w:cs="Times New Roman"/>
                <w:color w:val="auto"/>
                <w:sz w:val="24"/>
              </w:rPr>
              <w:t>一级保护区半径R（米）</w:t>
            </w:r>
          </w:p>
        </w:tc>
        <w:tc>
          <w:tcPr>
            <w:tcW w:w="2840" w:type="dxa"/>
            <w:noWrap w:val="0"/>
            <w:vAlign w:val="center"/>
          </w:tcPr>
          <w:p w14:paraId="1B39C7FA">
            <w:pPr>
              <w:keepNext w:val="0"/>
              <w:keepLines w:val="0"/>
              <w:suppressLineNumbers w:val="0"/>
              <w:spacing w:before="0" w:beforeAutospacing="0" w:after="0" w:afterAutospacing="0" w:line="600" w:lineRule="exact"/>
              <w:ind w:left="0" w:right="0" w:firstLine="200"/>
              <w:jc w:val="center"/>
              <w:rPr>
                <w:rFonts w:hint="default" w:ascii="Times New Roman" w:hAnsi="Times New Roman" w:cs="Times New Roman"/>
                <w:color w:val="auto"/>
                <w:sz w:val="24"/>
              </w:rPr>
            </w:pPr>
            <w:r>
              <w:rPr>
                <w:rFonts w:hint="default" w:ascii="Times New Roman" w:hAnsi="Times New Roman" w:cs="Times New Roman"/>
                <w:color w:val="auto"/>
                <w:sz w:val="24"/>
              </w:rPr>
              <w:t>二级保护区半径R（米）</w:t>
            </w:r>
          </w:p>
        </w:tc>
      </w:tr>
      <w:tr w14:paraId="0A02F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2841" w:type="dxa"/>
            <w:noWrap w:val="0"/>
            <w:vAlign w:val="center"/>
          </w:tcPr>
          <w:p w14:paraId="654B838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 w:val="24"/>
              </w:rPr>
              <w:t>细砂</w:t>
            </w:r>
          </w:p>
        </w:tc>
        <w:tc>
          <w:tcPr>
            <w:tcW w:w="2841" w:type="dxa"/>
            <w:noWrap w:val="0"/>
            <w:vAlign w:val="center"/>
          </w:tcPr>
          <w:p w14:paraId="34FD3EB6">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30</w:t>
            </w:r>
          </w:p>
        </w:tc>
        <w:tc>
          <w:tcPr>
            <w:tcW w:w="2840" w:type="dxa"/>
            <w:noWrap w:val="0"/>
            <w:vAlign w:val="center"/>
          </w:tcPr>
          <w:p w14:paraId="01428215">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300</w:t>
            </w:r>
          </w:p>
        </w:tc>
      </w:tr>
      <w:tr w14:paraId="15781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2841" w:type="dxa"/>
            <w:noWrap w:val="0"/>
            <w:vAlign w:val="center"/>
          </w:tcPr>
          <w:p w14:paraId="2B95336D">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中砂</w:t>
            </w:r>
          </w:p>
        </w:tc>
        <w:tc>
          <w:tcPr>
            <w:tcW w:w="2841" w:type="dxa"/>
            <w:noWrap w:val="0"/>
            <w:vAlign w:val="center"/>
          </w:tcPr>
          <w:p w14:paraId="7D02EB22">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50</w:t>
            </w:r>
          </w:p>
        </w:tc>
        <w:tc>
          <w:tcPr>
            <w:tcW w:w="2840" w:type="dxa"/>
            <w:noWrap w:val="0"/>
            <w:vAlign w:val="center"/>
          </w:tcPr>
          <w:p w14:paraId="0358411A">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500</w:t>
            </w:r>
          </w:p>
        </w:tc>
      </w:tr>
      <w:tr w14:paraId="2718C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2841" w:type="dxa"/>
            <w:noWrap w:val="0"/>
            <w:vAlign w:val="center"/>
          </w:tcPr>
          <w:p w14:paraId="30DF9CC1">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粗砂</w:t>
            </w:r>
          </w:p>
        </w:tc>
        <w:tc>
          <w:tcPr>
            <w:tcW w:w="2841" w:type="dxa"/>
            <w:noWrap w:val="0"/>
            <w:vAlign w:val="center"/>
          </w:tcPr>
          <w:p w14:paraId="4F4F464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100</w:t>
            </w:r>
          </w:p>
        </w:tc>
        <w:tc>
          <w:tcPr>
            <w:tcW w:w="2840" w:type="dxa"/>
            <w:noWrap w:val="0"/>
            <w:vAlign w:val="center"/>
          </w:tcPr>
          <w:p w14:paraId="456363A6">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1000</w:t>
            </w:r>
          </w:p>
        </w:tc>
      </w:tr>
      <w:tr w14:paraId="366FB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2841" w:type="dxa"/>
            <w:noWrap w:val="0"/>
            <w:vAlign w:val="center"/>
          </w:tcPr>
          <w:p w14:paraId="4792F3FC">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砾石</w:t>
            </w:r>
          </w:p>
        </w:tc>
        <w:tc>
          <w:tcPr>
            <w:tcW w:w="2841" w:type="dxa"/>
            <w:noWrap w:val="0"/>
            <w:vAlign w:val="center"/>
          </w:tcPr>
          <w:p w14:paraId="1F20DA79">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200</w:t>
            </w:r>
          </w:p>
        </w:tc>
        <w:tc>
          <w:tcPr>
            <w:tcW w:w="2840" w:type="dxa"/>
            <w:noWrap w:val="0"/>
            <w:vAlign w:val="center"/>
          </w:tcPr>
          <w:p w14:paraId="4CC3DB5E">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2000</w:t>
            </w:r>
          </w:p>
        </w:tc>
      </w:tr>
      <w:tr w14:paraId="366DF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2841" w:type="dxa"/>
            <w:noWrap w:val="0"/>
            <w:vAlign w:val="center"/>
          </w:tcPr>
          <w:p w14:paraId="5F5764B4">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卵石</w:t>
            </w:r>
          </w:p>
        </w:tc>
        <w:tc>
          <w:tcPr>
            <w:tcW w:w="2841" w:type="dxa"/>
            <w:noWrap w:val="0"/>
            <w:vAlign w:val="center"/>
          </w:tcPr>
          <w:p w14:paraId="308D1594">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500</w:t>
            </w:r>
          </w:p>
        </w:tc>
        <w:tc>
          <w:tcPr>
            <w:tcW w:w="2840" w:type="dxa"/>
            <w:noWrap w:val="0"/>
            <w:vAlign w:val="center"/>
          </w:tcPr>
          <w:p w14:paraId="70E22A3A">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4"/>
              </w:rPr>
              <w:t>5000</w:t>
            </w:r>
          </w:p>
        </w:tc>
      </w:tr>
    </w:tbl>
    <w:p w14:paraId="2EBBD584">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lang w:eastAsia="ja-JP"/>
        </w:rPr>
        <w:t>③</w:t>
      </w:r>
      <w:r>
        <w:rPr>
          <w:rFonts w:hint="default" w:ascii="Times New Roman" w:hAnsi="Times New Roman" w:cs="Times New Roman"/>
          <w:color w:val="auto"/>
          <w:kern w:val="0"/>
          <w:sz w:val="28"/>
          <w:szCs w:val="28"/>
        </w:rPr>
        <w:t>准保护区</w:t>
      </w:r>
    </w:p>
    <w:p w14:paraId="52165E70">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孔隙水潜水型水源的准保护区为补给区和径流区。</w:t>
      </w:r>
    </w:p>
    <w:p w14:paraId="12576C70">
      <w:pPr>
        <w:spacing w:line="600" w:lineRule="exact"/>
        <w:ind w:firstLine="560" w:firstLineChars="200"/>
        <w:rPr>
          <w:rFonts w:hint="default" w:ascii="Times New Roman" w:hAnsi="Times New Roman" w:cs="Times New Roman"/>
          <w:color w:val="auto"/>
          <w:kern w:val="0"/>
          <w:sz w:val="28"/>
          <w:szCs w:val="28"/>
          <w:lang w:eastAsia="ja-JP"/>
        </w:rPr>
      </w:pPr>
      <w:bookmarkStart w:id="76" w:name="_Toc42592574"/>
      <w:r>
        <w:rPr>
          <w:rFonts w:hint="default" w:ascii="Times New Roman" w:hAnsi="Times New Roman" w:cs="Times New Roman"/>
          <w:color w:val="auto"/>
          <w:kern w:val="0"/>
          <w:sz w:val="28"/>
          <w:szCs w:val="28"/>
          <w:lang w:eastAsia="ja-JP"/>
        </w:rPr>
        <w:t>对于集中式供水水源地，井群内井间距大于一级保护区半径的2倍时，可以分别对每口井进行一级保护区划分；井群内井间距小于等于一级保护区半径的2倍时，则以外围井的外接多边形为边界，向外径向距离为一级保护区半径的多边形区域，见下图</w:t>
      </w:r>
      <w:r>
        <w:rPr>
          <w:rFonts w:hint="default" w:ascii="Times New Roman" w:hAnsi="Times New Roman" w:cs="Times New Roman"/>
          <w:color w:val="auto"/>
          <w:kern w:val="0"/>
          <w:sz w:val="28"/>
          <w:szCs w:val="28"/>
          <w:lang w:val="en-US" w:eastAsia="zh-CN"/>
        </w:rPr>
        <w:t>3</w:t>
      </w:r>
      <w:r>
        <w:rPr>
          <w:rFonts w:hint="default" w:ascii="Times New Roman" w:hAnsi="Times New Roman" w:cs="Times New Roman"/>
          <w:color w:val="auto"/>
          <w:kern w:val="0"/>
          <w:sz w:val="28"/>
          <w:szCs w:val="28"/>
          <w:lang w:eastAsia="ja-JP"/>
        </w:rPr>
        <w:t>-1所示。</w:t>
      </w:r>
    </w:p>
    <w:p w14:paraId="60B846AD">
      <w:pPr>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114300" distR="114300">
            <wp:extent cx="5269865" cy="283019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69865" cy="2830195"/>
                    </a:xfrm>
                    <a:prstGeom prst="rect">
                      <a:avLst/>
                    </a:prstGeom>
                    <a:noFill/>
                    <a:ln>
                      <a:noFill/>
                    </a:ln>
                  </pic:spPr>
                </pic:pic>
              </a:graphicData>
            </a:graphic>
          </wp:inline>
        </w:drawing>
      </w:r>
    </w:p>
    <w:p w14:paraId="66623A5A">
      <w:pPr>
        <w:widowControl/>
        <w:jc w:val="center"/>
        <w:rPr>
          <w:rFonts w:hint="default" w:ascii="Times New Roman" w:hAnsi="Times New Roman" w:cs="Times New Roman"/>
          <w:b/>
          <w:color w:val="auto"/>
          <w:sz w:val="24"/>
        </w:rPr>
      </w:pPr>
      <w:r>
        <w:rPr>
          <w:rFonts w:hint="default" w:ascii="Times New Roman" w:hAnsi="Times New Roman" w:cs="Times New Roman"/>
          <w:b/>
          <w:color w:val="auto"/>
          <w:sz w:val="24"/>
        </w:rPr>
        <w:t>图 3-1  群井的水源保护区范围的概念模型图</w:t>
      </w:r>
    </w:p>
    <w:p w14:paraId="068C22E4">
      <w:pPr>
        <w:pStyle w:val="3"/>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jc w:val="left"/>
        <w:textAlignment w:val="auto"/>
        <w:rPr>
          <w:rFonts w:hint="default" w:ascii="Times New Roman" w:hAnsi="Times New Roman" w:eastAsia="宋体" w:cs="Times New Roman"/>
          <w:b/>
          <w:color w:val="auto"/>
          <w:sz w:val="28"/>
          <w:szCs w:val="28"/>
        </w:rPr>
      </w:pPr>
      <w:bookmarkStart w:id="77" w:name="_Toc30575"/>
      <w:r>
        <w:rPr>
          <w:rFonts w:hint="default" w:ascii="Times New Roman" w:hAnsi="Times New Roman" w:eastAsia="宋体" w:cs="Times New Roman"/>
          <w:b/>
          <w:color w:val="auto"/>
          <w:sz w:val="28"/>
          <w:szCs w:val="28"/>
        </w:rPr>
        <w:t>3.2初步划分结果及分析</w:t>
      </w:r>
      <w:bookmarkEnd w:id="76"/>
      <w:bookmarkEnd w:id="77"/>
    </w:p>
    <w:p w14:paraId="19F09B53">
      <w:pPr>
        <w:spacing w:line="360" w:lineRule="auto"/>
        <w:ind w:firstLine="560" w:firstLineChars="200"/>
        <w:rPr>
          <w:rFonts w:hint="eastAsia" w:ascii="Times New Roman" w:hAnsi="Times New Roman" w:cs="Times New Roman"/>
          <w:color w:val="auto"/>
          <w:kern w:val="0"/>
          <w:sz w:val="28"/>
          <w:szCs w:val="28"/>
          <w:lang w:eastAsia="zh-CN"/>
        </w:rPr>
      </w:pPr>
      <w:r>
        <w:rPr>
          <w:rFonts w:hint="eastAsia" w:ascii="Times New Roman" w:hAnsi="Times New Roman" w:cs="Times New Roman"/>
          <w:color w:val="auto"/>
          <w:kern w:val="0"/>
          <w:sz w:val="28"/>
          <w:szCs w:val="28"/>
          <w:lang w:val="en-US" w:eastAsia="zh-CN"/>
        </w:rPr>
        <w:t>本次划分以</w:t>
      </w:r>
      <w:r>
        <w:rPr>
          <w:rFonts w:hint="default" w:ascii="Times New Roman" w:hAnsi="Times New Roman" w:cs="Times New Roman"/>
          <w:color w:val="auto"/>
          <w:kern w:val="0"/>
          <w:sz w:val="28"/>
          <w:szCs w:val="28"/>
        </w:rPr>
        <w:t>《饮用水水源保护区划分技术规范》</w:t>
      </w:r>
      <w:r>
        <w:rPr>
          <w:rFonts w:hint="eastAsia" w:ascii="Times New Roman" w:hAnsi="Times New Roman" w:cs="Times New Roman"/>
          <w:color w:val="auto"/>
          <w:kern w:val="0"/>
          <w:sz w:val="28"/>
          <w:szCs w:val="28"/>
          <w:lang w:eastAsia="zh-CN"/>
        </w:rPr>
        <w:t>（</w:t>
      </w:r>
      <w:r>
        <w:rPr>
          <w:rFonts w:hint="default" w:ascii="Times New Roman" w:hAnsi="Times New Roman" w:cs="Times New Roman"/>
          <w:color w:val="auto"/>
          <w:kern w:val="0"/>
          <w:sz w:val="28"/>
          <w:szCs w:val="28"/>
        </w:rPr>
        <w:t>HJ338-2018</w:t>
      </w:r>
      <w:r>
        <w:rPr>
          <w:rFonts w:hint="eastAsia" w:ascii="Times New Roman" w:hAnsi="Times New Roman" w:cs="Times New Roman"/>
          <w:color w:val="auto"/>
          <w:kern w:val="0"/>
          <w:sz w:val="28"/>
          <w:szCs w:val="28"/>
          <w:lang w:eastAsia="zh-CN"/>
        </w:rPr>
        <w:t>）为主要依据进行划分。</w:t>
      </w:r>
    </w:p>
    <w:p w14:paraId="603533C2">
      <w:pPr>
        <w:spacing w:line="360" w:lineRule="auto"/>
        <w:ind w:firstLine="560" w:firstLineChars="200"/>
        <w:rPr>
          <w:rFonts w:hint="default" w:ascii="Times New Roman" w:hAnsi="Times New Roman" w:cs="Times New Roman"/>
          <w:color w:val="auto"/>
          <w:kern w:val="0"/>
          <w:sz w:val="28"/>
          <w:szCs w:val="28"/>
        </w:rPr>
      </w:pPr>
      <w:r>
        <w:rPr>
          <w:rFonts w:hint="eastAsia" w:ascii="Times New Roman" w:hAnsi="Times New Roman" w:cs="Times New Roman"/>
          <w:color w:val="auto"/>
          <w:kern w:val="0"/>
          <w:sz w:val="28"/>
          <w:szCs w:val="28"/>
          <w:lang w:val="en-US" w:eastAsia="zh-CN"/>
        </w:rPr>
        <w:t>西安市灞桥区狄寨街道狄寨村</w:t>
      </w:r>
      <w:r>
        <w:rPr>
          <w:rFonts w:hint="default" w:ascii="Times New Roman" w:hAnsi="Times New Roman" w:cs="Times New Roman"/>
          <w:color w:val="auto"/>
          <w:kern w:val="0"/>
          <w:sz w:val="28"/>
          <w:szCs w:val="28"/>
        </w:rPr>
        <w:t>饮用水水源地类型如下：</w:t>
      </w:r>
    </w:p>
    <w:p w14:paraId="386FAE7E">
      <w:pPr>
        <w:widowControl/>
        <w:jc w:val="center"/>
        <w:rPr>
          <w:rFonts w:hint="default" w:ascii="Times New Roman" w:hAnsi="Times New Roman" w:cs="Times New Roman"/>
          <w:b/>
          <w:color w:val="auto"/>
          <w:sz w:val="24"/>
        </w:rPr>
      </w:pPr>
      <w:r>
        <w:rPr>
          <w:rFonts w:hint="default" w:ascii="Times New Roman" w:hAnsi="Times New Roman" w:cs="Times New Roman"/>
          <w:b/>
          <w:color w:val="auto"/>
          <w:sz w:val="24"/>
        </w:rPr>
        <w:t>表3.2-1   水源地类型一览表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2691"/>
        <w:gridCol w:w="4448"/>
      </w:tblGrid>
      <w:tr w14:paraId="716F8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07" w:type="pct"/>
            <w:vMerge w:val="restart"/>
            <w:noWrap w:val="0"/>
            <w:vAlign w:val="center"/>
          </w:tcPr>
          <w:p w14:paraId="6D9E12E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1580" w:type="pct"/>
            <w:noWrap w:val="0"/>
            <w:vAlign w:val="center"/>
          </w:tcPr>
          <w:p w14:paraId="599C59F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分类方法</w:t>
            </w:r>
          </w:p>
        </w:tc>
        <w:tc>
          <w:tcPr>
            <w:tcW w:w="2611" w:type="pct"/>
            <w:noWrap w:val="0"/>
            <w:vAlign w:val="center"/>
          </w:tcPr>
          <w:p w14:paraId="3A79112E">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井、2</w:t>
            </w:r>
            <w:r>
              <w:rPr>
                <w:rFonts w:hint="default" w:ascii="Times New Roman" w:hAnsi="Times New Roman" w:cs="Times New Roman"/>
                <w:color w:val="auto"/>
                <w:szCs w:val="21"/>
                <w:lang w:val="en-US" w:eastAsia="zh-CN"/>
              </w:rPr>
              <w:t>#井</w:t>
            </w:r>
          </w:p>
        </w:tc>
      </w:tr>
      <w:tr w14:paraId="2533E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07" w:type="pct"/>
            <w:vMerge w:val="restart"/>
            <w:noWrap w:val="0"/>
            <w:vAlign w:val="center"/>
          </w:tcPr>
          <w:p w14:paraId="426EF0A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地下水水源类型</w:t>
            </w:r>
          </w:p>
        </w:tc>
        <w:tc>
          <w:tcPr>
            <w:tcW w:w="1580" w:type="pct"/>
            <w:noWrap w:val="0"/>
            <w:vAlign w:val="center"/>
          </w:tcPr>
          <w:p w14:paraId="3D04D2C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含水层介质类型</w:t>
            </w:r>
          </w:p>
        </w:tc>
        <w:tc>
          <w:tcPr>
            <w:tcW w:w="2611" w:type="pct"/>
            <w:noWrap w:val="0"/>
            <w:vAlign w:val="center"/>
          </w:tcPr>
          <w:p w14:paraId="5236956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孔隙水</w:t>
            </w:r>
          </w:p>
        </w:tc>
      </w:tr>
      <w:tr w14:paraId="6F32C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07" w:type="pct"/>
            <w:vMerge w:val="continue"/>
            <w:noWrap w:val="0"/>
            <w:vAlign w:val="center"/>
          </w:tcPr>
          <w:p w14:paraId="4220E2F7">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p>
        </w:tc>
        <w:tc>
          <w:tcPr>
            <w:tcW w:w="1580" w:type="pct"/>
            <w:noWrap w:val="0"/>
            <w:vAlign w:val="center"/>
          </w:tcPr>
          <w:p w14:paraId="70839AC7">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按地下水埋藏条件</w:t>
            </w:r>
          </w:p>
        </w:tc>
        <w:tc>
          <w:tcPr>
            <w:tcW w:w="2611" w:type="pct"/>
            <w:noWrap w:val="0"/>
            <w:vAlign w:val="center"/>
          </w:tcPr>
          <w:p w14:paraId="609E2A1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承压水</w:t>
            </w:r>
          </w:p>
        </w:tc>
      </w:tr>
      <w:tr w14:paraId="50CA0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7" w:type="pct"/>
            <w:vMerge w:val="continue"/>
            <w:noWrap w:val="0"/>
            <w:vAlign w:val="center"/>
          </w:tcPr>
          <w:p w14:paraId="6B7FEC7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p>
        </w:tc>
        <w:tc>
          <w:tcPr>
            <w:tcW w:w="1580" w:type="pct"/>
            <w:noWrap w:val="0"/>
            <w:vAlign w:val="center"/>
          </w:tcPr>
          <w:p w14:paraId="5155C75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开采规模</w:t>
            </w:r>
          </w:p>
        </w:tc>
        <w:tc>
          <w:tcPr>
            <w:tcW w:w="2611" w:type="pct"/>
            <w:noWrap w:val="0"/>
            <w:vAlign w:val="center"/>
          </w:tcPr>
          <w:p w14:paraId="0AC85C8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中小型水源地</w:t>
            </w:r>
          </w:p>
          <w:p w14:paraId="1E7D9C0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eastAsia" w:ascii="Times New Roman" w:hAnsi="Times New Roman" w:cs="宋体"/>
                <w:color w:val="auto"/>
              </w:rPr>
              <w:t>（</w:t>
            </w:r>
            <w:r>
              <w:rPr>
                <w:rFonts w:hint="eastAsia" w:ascii="Times New Roman" w:hAnsi="Times New Roman" w:cs="宋体"/>
                <w:color w:val="auto"/>
                <w:lang w:val="en-US" w:eastAsia="zh-CN"/>
              </w:rPr>
              <w:t>设计</w:t>
            </w:r>
            <w:r>
              <w:rPr>
                <w:rFonts w:hint="eastAsia" w:ascii="Times New Roman" w:hAnsi="Times New Roman" w:cs="宋体"/>
                <w:color w:val="auto"/>
              </w:rPr>
              <w:t>开采规模</w:t>
            </w:r>
            <w:r>
              <w:rPr>
                <w:rFonts w:hint="eastAsia" w:ascii="Times New Roman" w:hAnsi="Times New Roman" w:cs="宋体"/>
                <w:color w:val="auto"/>
                <w:lang w:val="en-US" w:eastAsia="zh-CN"/>
              </w:rPr>
              <w:t>均为</w:t>
            </w:r>
            <w:r>
              <w:rPr>
                <w:rFonts w:hint="eastAsia" w:ascii="Times New Roman" w:hAnsi="Times New Roman" w:cs="Times New Roman"/>
                <w:color w:val="auto"/>
                <w:lang w:val="en-US" w:eastAsia="zh-CN"/>
              </w:rPr>
              <w:t>18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eastAsia" w:ascii="Times New Roman" w:hAnsi="Times New Roman" w:cs="宋体"/>
                <w:color w:val="auto"/>
              </w:rPr>
              <w:t>，小于</w:t>
            </w:r>
            <w:r>
              <w:rPr>
                <w:rFonts w:hint="default" w:ascii="Times New Roman" w:hAnsi="Times New Roman" w:cs="Times New Roman"/>
                <w:color w:val="auto"/>
              </w:rPr>
              <w:t>5</w:t>
            </w:r>
            <w:r>
              <w:rPr>
                <w:rFonts w:hint="eastAsia" w:ascii="Times New Roman" w:hAnsi="Times New Roman" w:cs="宋体"/>
                <w:color w:val="auto"/>
              </w:rPr>
              <w:t>×</w:t>
            </w:r>
            <w:r>
              <w:rPr>
                <w:rFonts w:hint="default" w:ascii="Times New Roman" w:hAnsi="Times New Roman" w:cs="Times New Roman"/>
                <w:color w:val="auto"/>
              </w:rPr>
              <w:t>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宋体"/>
                <w:color w:val="auto"/>
              </w:rPr>
              <w:t>）</w:t>
            </w:r>
          </w:p>
        </w:tc>
      </w:tr>
    </w:tbl>
    <w:p w14:paraId="27C0456E">
      <w:pPr>
        <w:spacing w:line="360" w:lineRule="auto"/>
        <w:ind w:firstLine="560" w:firstLineChars="200"/>
        <w:rPr>
          <w:rFonts w:hint="default" w:ascii="Times New Roman" w:hAnsi="Times New Roman" w:cs="Times New Roman"/>
          <w:color w:val="auto"/>
          <w:sz w:val="28"/>
          <w:szCs w:val="28"/>
        </w:rPr>
      </w:pPr>
      <w:bookmarkStart w:id="78" w:name="_Toc42592575"/>
      <w:r>
        <w:rPr>
          <w:rFonts w:hint="default" w:ascii="Times New Roman" w:hAnsi="Times New Roman" w:cs="Times New Roman"/>
          <w:color w:val="auto"/>
          <w:sz w:val="28"/>
          <w:szCs w:val="28"/>
        </w:rPr>
        <w:t>根据规范对中小型水源地的孔隙水承压水型水源保护区的划定方法，一般情况下不设二级保护区，所以各水源井不设二级保护区。</w:t>
      </w:r>
    </w:p>
    <w:p w14:paraId="4EFEC245">
      <w:pPr>
        <w:spacing w:line="360" w:lineRule="auto"/>
        <w:ind w:firstLine="560" w:firstLineChars="200"/>
        <w:rPr>
          <w:rFonts w:hint="default" w:ascii="Times New Roman" w:hAnsi="Times New Roman" w:cs="Times New Roman"/>
          <w:color w:val="auto"/>
        </w:rPr>
      </w:pPr>
      <w:r>
        <w:rPr>
          <w:rFonts w:hint="eastAsia" w:ascii="Times New Roman" w:hAnsi="Times New Roman" w:cs="Times New Roman"/>
          <w:color w:val="auto"/>
          <w:sz w:val="28"/>
          <w:szCs w:val="28"/>
          <w:lang w:val="en-US" w:eastAsia="zh-CN"/>
        </w:rPr>
        <w:t>根据</w:t>
      </w:r>
      <w:r>
        <w:rPr>
          <w:rFonts w:hint="eastAsia" w:ascii="Times New Roman" w:hAnsi="Times New Roman" w:cs="Times New Roman"/>
          <w:color w:val="auto"/>
          <w:sz w:val="28"/>
          <w:szCs w:val="28"/>
          <w:lang w:eastAsia="zh-CN"/>
        </w:rPr>
        <w:t>《饮用水水源保护区划分技术规范》（</w:t>
      </w:r>
      <w:r>
        <w:rPr>
          <w:rFonts w:hint="eastAsia" w:ascii="Times New Roman" w:hAnsi="Times New Roman" w:cs="Times New Roman"/>
          <w:color w:val="auto"/>
          <w:sz w:val="28"/>
          <w:szCs w:val="28"/>
          <w:lang w:val="en-US" w:eastAsia="zh-CN"/>
        </w:rPr>
        <w:t>HJ338-2018</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，准保护区划分为地下水水源补给区，根据</w:t>
      </w:r>
      <w:r>
        <w:rPr>
          <w:rFonts w:hint="eastAsia" w:ascii="Times New Roman" w:hAnsi="Times New Roman" w:cs="Times New Roman"/>
          <w:b w:val="0"/>
          <w:bCs w:val="0"/>
          <w:color w:val="auto"/>
          <w:sz w:val="28"/>
          <w:szCs w:val="28"/>
          <w:lang w:eastAsia="zh-CN"/>
        </w:rPr>
        <w:t>《</w:t>
      </w:r>
      <w:r>
        <w:rPr>
          <w:rFonts w:hint="eastAsia" w:ascii="Times New Roman" w:hAnsi="Times New Roman" w:eastAsia="宋体" w:cs="Times New Roman"/>
          <w:b w:val="0"/>
          <w:bCs w:val="0"/>
          <w:color w:val="auto"/>
          <w:sz w:val="28"/>
          <w:szCs w:val="28"/>
          <w:lang w:eastAsia="zh-CN"/>
        </w:rPr>
        <w:t>西安市灞桥区</w:t>
      </w:r>
      <w:r>
        <w:rPr>
          <w:rFonts w:hint="eastAsia" w:ascii="Times New Roman" w:hAnsi="Times New Roman" w:eastAsia="宋体" w:cs="Times New Roman"/>
          <w:b w:val="0"/>
          <w:bCs w:val="0"/>
          <w:color w:val="auto"/>
          <w:sz w:val="28"/>
          <w:szCs w:val="28"/>
          <w:lang w:val="en-US" w:eastAsia="zh-CN"/>
        </w:rPr>
        <w:t>狄寨街办狄寨村安全饮水工程初步设计报告</w:t>
      </w:r>
      <w:r>
        <w:rPr>
          <w:rFonts w:hint="eastAsia" w:ascii="Times New Roman" w:hAnsi="Times New Roman" w:cs="Times New Roman"/>
          <w:b w:val="0"/>
          <w:bCs w:val="0"/>
          <w:color w:val="auto"/>
          <w:sz w:val="28"/>
          <w:szCs w:val="28"/>
          <w:lang w:eastAsia="zh-CN"/>
        </w:rPr>
        <w:t>》</w:t>
      </w:r>
      <w:r>
        <w:rPr>
          <w:rFonts w:hint="eastAsia" w:ascii="Times New Roman" w:hAnsi="Times New Roman" w:cs="Times New Roman"/>
          <w:color w:val="auto"/>
          <w:sz w:val="28"/>
          <w:szCs w:val="28"/>
          <w:lang w:val="en-US" w:eastAsia="zh-CN"/>
        </w:rPr>
        <w:t>，狄寨村从黄土塬坡-村组-河谷，含水层含水介质不同，透水性有差异，但水力联系密切，因此构成了一个完整的地下水的补给-径流-排泄系统。该含水系统经由大气降水入渗补给，通过地下水在各含水层之间以水量交换的方式(运移)径流排泄。受地势控制，地下水总体径流、排泄方向为由南向北，指向灞河河谷。结合现有井实际情况，本次准保护区范围初步划定为一级保护区外围30m区域。</w:t>
      </w:r>
    </w:p>
    <w:p w14:paraId="3CAD2558">
      <w:pPr>
        <w:pStyle w:val="4"/>
        <w:spacing w:before="120" w:after="120"/>
        <w:rPr>
          <w:rFonts w:hint="default" w:ascii="Times New Roman" w:hAnsi="Times New Roman" w:cs="Times New Roman"/>
          <w:color w:val="auto"/>
        </w:rPr>
      </w:pPr>
      <w:r>
        <w:rPr>
          <w:rFonts w:hint="default" w:ascii="Times New Roman" w:hAnsi="Times New Roman" w:cs="Times New Roman"/>
          <w:color w:val="auto"/>
        </w:rPr>
        <w:t xml:space="preserve">3.2.1 </w:t>
      </w:r>
      <w:r>
        <w:rPr>
          <w:rFonts w:hint="default" w:ascii="Times New Roman" w:hAnsi="Times New Roman" w:cs="Times New Roman"/>
          <w:color w:val="auto"/>
          <w:lang w:val="en-US" w:eastAsia="zh-CN"/>
        </w:rPr>
        <w:t>饮用水</w:t>
      </w:r>
      <w:r>
        <w:rPr>
          <w:rFonts w:hint="eastAsia" w:cs="Times New Roman"/>
          <w:color w:val="auto"/>
          <w:lang w:eastAsia="zh-CN"/>
        </w:rPr>
        <w:t>饮用水水源保护区划分</w:t>
      </w:r>
      <w:r>
        <w:rPr>
          <w:rFonts w:hint="default" w:ascii="Times New Roman" w:hAnsi="Times New Roman" w:cs="Times New Roman"/>
          <w:color w:val="auto"/>
        </w:rPr>
        <w:t>方案结果</w:t>
      </w:r>
      <w:bookmarkEnd w:id="78"/>
    </w:p>
    <w:p w14:paraId="19F6177E">
      <w:pPr>
        <w:spacing w:line="360" w:lineRule="auto"/>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饮用水</w:t>
      </w:r>
      <w:r>
        <w:rPr>
          <w:rFonts w:hint="default" w:ascii="Times New Roman" w:hAnsi="Times New Roman" w:cs="Times New Roman"/>
          <w:color w:val="auto"/>
          <w:sz w:val="28"/>
          <w:szCs w:val="28"/>
        </w:rPr>
        <w:t>水源地目前在用的</w:t>
      </w: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眼承压井均位于井房内，地表硬化，无渗排。根据</w:t>
      </w: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眼水井历史水质监测数据，取水井水质稳定良好。从侧面表明现状保护措施可以满足保护要求，因此本次承压井保护区范围结合现状保护情况划定。</w:t>
      </w:r>
    </w:p>
    <w:p w14:paraId="6D7E1180">
      <w:pPr>
        <w:spacing w:line="360" w:lineRule="auto"/>
        <w:ind w:firstLine="562" w:firstLineChars="20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1、一级保护区</w:t>
      </w:r>
    </w:p>
    <w:p w14:paraId="2A323E79">
      <w:pPr>
        <w:pStyle w:val="10"/>
        <w:rPr>
          <w:rFonts w:hint="default" w:ascii="Times New Roman" w:hAnsi="Times New Roman" w:cs="Times New Roman"/>
          <w:b/>
          <w:color w:val="auto"/>
          <w:sz w:val="28"/>
          <w:szCs w:val="28"/>
        </w:rPr>
      </w:pPr>
      <w:r>
        <w:rPr>
          <w:rFonts w:hint="eastAsia"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val="en-US" w:eastAsia="zh-CN"/>
        </w:rPr>
        <w:t>#水源井位于井房内，</w:t>
      </w:r>
      <w:r>
        <w:rPr>
          <w:rFonts w:hint="default" w:ascii="Times New Roman" w:hAnsi="Times New Roman" w:cs="Times New Roman"/>
          <w:color w:val="auto"/>
          <w:sz w:val="28"/>
          <w:szCs w:val="28"/>
        </w:rPr>
        <w:t>划定</w:t>
      </w:r>
      <w:r>
        <w:rPr>
          <w:rFonts w:hint="default" w:ascii="Times New Roman" w:hAnsi="Times New Roman" w:cs="Times New Roman"/>
          <w:color w:val="auto"/>
          <w:sz w:val="28"/>
          <w:szCs w:val="28"/>
          <w:lang w:val="en-US" w:eastAsia="zh-CN"/>
        </w:rPr>
        <w:t>一级保护区范围</w:t>
      </w:r>
      <w:r>
        <w:rPr>
          <w:rFonts w:hint="eastAsia" w:ascii="Times New Roman" w:hAnsi="Times New Roman" w:cs="Times New Roman"/>
          <w:color w:val="auto"/>
          <w:sz w:val="28"/>
          <w:szCs w:val="28"/>
          <w:lang w:val="en-US" w:eastAsia="zh-CN"/>
        </w:rPr>
        <w:t>以1#取水井为中心</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北侧距离井口23m，东侧距离井口7m，西侧距离井口3m，南侧距离井口7m的矩形区域，</w:t>
      </w:r>
      <w:r>
        <w:rPr>
          <w:rFonts w:hint="default" w:ascii="Times New Roman" w:hAnsi="Times New Roman" w:cs="Times New Roman"/>
          <w:color w:val="auto"/>
          <w:sz w:val="28"/>
          <w:szCs w:val="28"/>
          <w:lang w:val="en-US" w:eastAsia="zh-CN"/>
        </w:rPr>
        <w:t>面积为</w:t>
      </w:r>
      <w:r>
        <w:rPr>
          <w:rFonts w:hint="eastAsia" w:ascii="Times New Roman" w:hAnsi="Times New Roman" w:cs="Times New Roman"/>
          <w:color w:val="auto"/>
          <w:sz w:val="28"/>
          <w:szCs w:val="28"/>
          <w:lang w:val="en-US" w:eastAsia="zh-CN"/>
        </w:rPr>
        <w:t>300</w:t>
      </w:r>
      <w:r>
        <w:rPr>
          <w:rFonts w:hint="default" w:ascii="Times New Roman" w:hAnsi="Times New Roman" w:cs="Times New Roman"/>
          <w:color w:val="auto"/>
          <w:sz w:val="28"/>
          <w:szCs w:val="28"/>
          <w:lang w:val="en-US" w:eastAsia="zh-CN"/>
        </w:rPr>
        <w:t>m</w:t>
      </w:r>
      <w:r>
        <w:rPr>
          <w:rFonts w:hint="default" w:ascii="Times New Roman" w:hAnsi="Times New Roman" w:cs="Times New Roman"/>
          <w:color w:val="auto"/>
          <w:sz w:val="28"/>
          <w:szCs w:val="28"/>
          <w:vertAlign w:val="superscript"/>
          <w:lang w:val="en-US" w:eastAsia="zh-CN"/>
        </w:rPr>
        <w:t>2</w:t>
      </w:r>
      <w:r>
        <w:rPr>
          <w:rFonts w:hint="default" w:ascii="Times New Roman" w:hAnsi="Times New Roman" w:cs="Times New Roman"/>
          <w:color w:val="auto"/>
          <w:sz w:val="28"/>
          <w:szCs w:val="28"/>
          <w:lang w:val="en-US" w:eastAsia="zh-CN"/>
        </w:rPr>
        <w:t>。</w:t>
      </w:r>
    </w:p>
    <w:p w14:paraId="42B3D8F8">
      <w:pPr>
        <w:spacing w:line="360" w:lineRule="auto"/>
        <w:ind w:firstLine="560" w:firstLineChars="200"/>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lang w:val="en-US" w:eastAsia="zh-CN"/>
        </w:rPr>
        <w:t>#水源井位于井房内，</w:t>
      </w:r>
      <w:r>
        <w:rPr>
          <w:rFonts w:hint="default" w:ascii="Times New Roman" w:hAnsi="Times New Roman" w:cs="Times New Roman"/>
          <w:color w:val="auto"/>
          <w:sz w:val="28"/>
          <w:szCs w:val="28"/>
        </w:rPr>
        <w:t>划定</w:t>
      </w:r>
      <w:r>
        <w:rPr>
          <w:rFonts w:hint="default" w:ascii="Times New Roman" w:hAnsi="Times New Roman" w:cs="Times New Roman"/>
          <w:color w:val="auto"/>
          <w:sz w:val="28"/>
          <w:szCs w:val="28"/>
          <w:lang w:val="en-US" w:eastAsia="zh-CN"/>
        </w:rPr>
        <w:t>一级保护区范围</w:t>
      </w:r>
      <w:r>
        <w:rPr>
          <w:rFonts w:hint="eastAsia" w:ascii="Times New Roman" w:hAnsi="Times New Roman" w:cs="Times New Roman"/>
          <w:color w:val="auto"/>
          <w:sz w:val="28"/>
          <w:szCs w:val="28"/>
          <w:lang w:val="en-US" w:eastAsia="zh-CN"/>
        </w:rPr>
        <w:t>以2#取水井为中心</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南侧距离井口2m，东侧距离井口3m，西侧距离井口12m，北侧距离井口10m的矩形区域，</w:t>
      </w:r>
      <w:r>
        <w:rPr>
          <w:rFonts w:hint="default" w:ascii="Times New Roman" w:hAnsi="Times New Roman" w:cs="Times New Roman"/>
          <w:color w:val="auto"/>
          <w:sz w:val="28"/>
          <w:szCs w:val="28"/>
          <w:lang w:val="en-US" w:eastAsia="zh-CN"/>
        </w:rPr>
        <w:t>面积为</w:t>
      </w:r>
      <w:r>
        <w:rPr>
          <w:rFonts w:hint="eastAsia" w:ascii="Times New Roman" w:hAnsi="Times New Roman" w:cs="Times New Roman"/>
          <w:color w:val="auto"/>
          <w:sz w:val="28"/>
          <w:szCs w:val="28"/>
          <w:lang w:val="en-US" w:eastAsia="zh-CN"/>
        </w:rPr>
        <w:t>180</w:t>
      </w:r>
      <w:r>
        <w:rPr>
          <w:rFonts w:hint="default" w:ascii="Times New Roman" w:hAnsi="Times New Roman" w:cs="Times New Roman"/>
          <w:color w:val="auto"/>
          <w:sz w:val="28"/>
          <w:szCs w:val="28"/>
          <w:lang w:val="en-US" w:eastAsia="zh-CN"/>
        </w:rPr>
        <w:t>m</w:t>
      </w:r>
      <w:r>
        <w:rPr>
          <w:rFonts w:hint="default" w:ascii="Times New Roman" w:hAnsi="Times New Roman" w:cs="Times New Roman"/>
          <w:color w:val="auto"/>
          <w:sz w:val="28"/>
          <w:szCs w:val="28"/>
          <w:vertAlign w:val="superscript"/>
          <w:lang w:val="en-US" w:eastAsia="zh-CN"/>
        </w:rPr>
        <w:t>2</w:t>
      </w:r>
      <w:r>
        <w:rPr>
          <w:rFonts w:hint="default" w:ascii="Times New Roman" w:hAnsi="Times New Roman" w:cs="Times New Roman"/>
          <w:color w:val="auto"/>
          <w:sz w:val="28"/>
          <w:szCs w:val="28"/>
          <w:lang w:val="en-US" w:eastAsia="zh-CN"/>
        </w:rPr>
        <w:t>。</w:t>
      </w:r>
    </w:p>
    <w:p w14:paraId="50B5650D">
      <w:pPr>
        <w:spacing w:line="360" w:lineRule="auto"/>
        <w:ind w:firstLine="562" w:firstLineChars="20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2、二级保护区</w:t>
      </w:r>
    </w:p>
    <w:p w14:paraId="2C90146C">
      <w:pPr>
        <w:autoSpaceDE w:val="0"/>
        <w:autoSpaceDN w:val="0"/>
        <w:adjustRightInd w:val="0"/>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不设二级保护区。</w:t>
      </w:r>
    </w:p>
    <w:p w14:paraId="742D167C">
      <w:pPr>
        <w:pStyle w:val="10"/>
        <w:rPr>
          <w:rFonts w:hint="eastAsia" w:eastAsia="宋体"/>
          <w:b/>
          <w:bCs/>
          <w:color w:val="auto"/>
          <w:lang w:val="en-US" w:eastAsia="zh-CN"/>
        </w:rPr>
      </w:pPr>
      <w:r>
        <w:rPr>
          <w:rFonts w:hint="eastAsia" w:ascii="Times New Roman" w:hAnsi="Times New Roman" w:cs="Times New Roman"/>
          <w:b/>
          <w:bCs/>
          <w:color w:val="auto"/>
          <w:sz w:val="28"/>
          <w:szCs w:val="28"/>
          <w:lang w:val="en-US" w:eastAsia="zh-CN"/>
        </w:rPr>
        <w:t>3、准保护区</w:t>
      </w:r>
    </w:p>
    <w:p w14:paraId="066742E9">
      <w:pPr>
        <w:pStyle w:val="10"/>
        <w:rPr>
          <w:rFonts w:hint="default" w:ascii="Times New Roman" w:hAnsi="Times New Roman" w:cs="Times New Roman"/>
          <w:color w:val="auto"/>
        </w:rPr>
      </w:pPr>
      <w:r>
        <w:rPr>
          <w:rFonts w:hint="eastAsia" w:ascii="Times New Roman" w:hAnsi="Times New Roman" w:cs="Times New Roman"/>
          <w:color w:val="auto"/>
          <w:lang w:val="en-US" w:eastAsia="zh-CN"/>
        </w:rPr>
        <w:t>2眼水源井的准保护区范围划定以一级保护区范围边界外扩30m区域。</w:t>
      </w:r>
    </w:p>
    <w:p w14:paraId="7EC0B885">
      <w:pPr>
        <w:pStyle w:val="10"/>
        <w:rPr>
          <w:rFonts w:hint="default" w:ascii="Times New Roman" w:hAnsi="Times New Roman" w:eastAsia="宋体" w:cs="Times New Roman"/>
          <w:color w:val="auto"/>
          <w:lang w:eastAsia="zh-CN"/>
        </w:rPr>
      </w:pPr>
      <w:r>
        <w:rPr>
          <w:rFonts w:hint="default" w:ascii="Times New Roman" w:hAnsi="Times New Roman" w:cs="Times New Roman"/>
          <w:color w:val="auto"/>
        </w:rPr>
        <w:t>饮用水水源保护区划分方案结果见表3.</w:t>
      </w:r>
      <w:r>
        <w:rPr>
          <w:rFonts w:hint="default" w:ascii="Times New Roman" w:hAnsi="Times New Roman" w:cs="Times New Roman"/>
          <w:color w:val="auto"/>
          <w:lang w:val="en-US" w:eastAsia="zh-CN"/>
        </w:rPr>
        <w:t>2</w:t>
      </w:r>
      <w:r>
        <w:rPr>
          <w:rFonts w:hint="default" w:ascii="Times New Roman" w:hAnsi="Times New Roman" w:cs="Times New Roman"/>
          <w:color w:val="auto"/>
        </w:rPr>
        <w:t>-1</w:t>
      </w:r>
      <w:r>
        <w:rPr>
          <w:rFonts w:hint="default" w:ascii="Times New Roman" w:hAnsi="Times New Roman" w:cs="Times New Roman"/>
          <w:color w:val="auto"/>
          <w:lang w:eastAsia="zh-CN"/>
        </w:rPr>
        <w:t>。</w:t>
      </w:r>
    </w:p>
    <w:p w14:paraId="210FAA69">
      <w:pPr>
        <w:spacing w:line="520" w:lineRule="exact"/>
        <w:jc w:val="center"/>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表3.</w:t>
      </w:r>
      <w:r>
        <w:rPr>
          <w:rFonts w:hint="default" w:ascii="Times New Roman" w:hAnsi="Times New Roman" w:cs="Times New Roman"/>
          <w:b/>
          <w:color w:val="auto"/>
          <w:sz w:val="24"/>
          <w:lang w:val="en-US" w:eastAsia="zh-CN"/>
        </w:rPr>
        <w:t>2</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1</w:t>
      </w:r>
      <w:r>
        <w:rPr>
          <w:rFonts w:hint="default" w:ascii="Times New Roman" w:hAnsi="Times New Roman" w:cs="Times New Roman"/>
          <w:b/>
          <w:color w:val="auto"/>
          <w:sz w:val="24"/>
        </w:rPr>
        <w:t xml:space="preserve">    饮用水水源保护区</w:t>
      </w:r>
      <w:r>
        <w:rPr>
          <w:rFonts w:hint="default" w:ascii="Times New Roman" w:hAnsi="Times New Roman" w:cs="Times New Roman"/>
          <w:b/>
          <w:color w:val="auto"/>
          <w:sz w:val="24"/>
          <w:lang w:val="en-US" w:eastAsia="zh-CN"/>
        </w:rPr>
        <w:t>划分方案</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274"/>
        <w:gridCol w:w="1862"/>
        <w:gridCol w:w="1275"/>
        <w:gridCol w:w="1009"/>
        <w:gridCol w:w="990"/>
        <w:gridCol w:w="1236"/>
      </w:tblGrid>
      <w:tr w14:paraId="54AFF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11" w:type="pct"/>
            <w:vMerge w:val="restart"/>
            <w:tcBorders>
              <w:tl2br w:val="nil"/>
              <w:tr2bl w:val="nil"/>
            </w:tcBorders>
            <w:noWrap/>
            <w:vAlign w:val="center"/>
          </w:tcPr>
          <w:p w14:paraId="7E63AA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lang w:val="en-US" w:eastAsia="zh-CN"/>
              </w:rPr>
            </w:pPr>
            <w:bookmarkStart w:id="79" w:name="OLE_LINK2"/>
            <w:r>
              <w:rPr>
                <w:rFonts w:hint="default" w:ascii="Times New Roman" w:hAnsi="Times New Roman" w:cs="Times New Roman"/>
                <w:b/>
                <w:bCs/>
                <w:color w:val="auto"/>
                <w:kern w:val="0"/>
                <w:szCs w:val="21"/>
                <w:lang w:val="en-US" w:eastAsia="zh-CN"/>
              </w:rPr>
              <w:t>保护区名称</w:t>
            </w:r>
          </w:p>
        </w:tc>
        <w:tc>
          <w:tcPr>
            <w:tcW w:w="747" w:type="pct"/>
            <w:vMerge w:val="restart"/>
            <w:tcBorders>
              <w:tl2br w:val="nil"/>
              <w:tr2bl w:val="nil"/>
            </w:tcBorders>
            <w:noWrap/>
            <w:vAlign w:val="center"/>
          </w:tcPr>
          <w:p w14:paraId="12176E19">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en-US" w:eastAsia="zh-CN"/>
              </w:rPr>
              <w:t>水井编号</w:t>
            </w:r>
          </w:p>
        </w:tc>
        <w:tc>
          <w:tcPr>
            <w:tcW w:w="1841" w:type="pct"/>
            <w:gridSpan w:val="2"/>
            <w:tcBorders>
              <w:tl2br w:val="nil"/>
              <w:tr2bl w:val="nil"/>
            </w:tcBorders>
            <w:noWrap/>
            <w:vAlign w:val="center"/>
          </w:tcPr>
          <w:p w14:paraId="259726B7">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水源保护范围</w:t>
            </w:r>
          </w:p>
        </w:tc>
        <w:tc>
          <w:tcPr>
            <w:tcW w:w="1173" w:type="pct"/>
            <w:gridSpan w:val="2"/>
            <w:tcBorders>
              <w:tl2br w:val="nil"/>
              <w:tr2bl w:val="nil"/>
            </w:tcBorders>
            <w:noWrap/>
            <w:vAlign w:val="center"/>
          </w:tcPr>
          <w:p w14:paraId="6478BDF9">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保护面积（m</w:t>
            </w:r>
            <w:r>
              <w:rPr>
                <w:rFonts w:hint="default" w:ascii="Times New Roman" w:hAnsi="Times New Roman" w:cs="Times New Roman"/>
                <w:b/>
                <w:bCs/>
                <w:color w:val="auto"/>
                <w:kern w:val="0"/>
                <w:szCs w:val="21"/>
                <w:vertAlign w:val="superscript"/>
                <w:lang w:val="en-US" w:eastAsia="zh-CN"/>
              </w:rPr>
              <w:t>2</w:t>
            </w:r>
            <w:r>
              <w:rPr>
                <w:rFonts w:hint="default" w:ascii="Times New Roman" w:hAnsi="Times New Roman" w:cs="Times New Roman"/>
                <w:b/>
                <w:bCs/>
                <w:color w:val="auto"/>
                <w:kern w:val="0"/>
                <w:szCs w:val="21"/>
              </w:rPr>
              <w:t>）</w:t>
            </w:r>
          </w:p>
        </w:tc>
        <w:tc>
          <w:tcPr>
            <w:tcW w:w="725" w:type="pct"/>
            <w:vMerge w:val="restart"/>
            <w:tcBorders>
              <w:tl2br w:val="nil"/>
              <w:tr2bl w:val="nil"/>
            </w:tcBorders>
            <w:noWrap/>
            <w:vAlign w:val="center"/>
          </w:tcPr>
          <w:p w14:paraId="12B4C7AB">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水质保护目标</w:t>
            </w:r>
          </w:p>
        </w:tc>
      </w:tr>
      <w:tr w14:paraId="1C47C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1" w:type="pct"/>
            <w:vMerge w:val="continue"/>
            <w:tcBorders>
              <w:tl2br w:val="nil"/>
              <w:tr2bl w:val="nil"/>
            </w:tcBorders>
            <w:noWrap/>
            <w:vAlign w:val="center"/>
          </w:tcPr>
          <w:p w14:paraId="29632A24">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lang w:val="en-US" w:eastAsia="zh-CN"/>
              </w:rPr>
            </w:pPr>
          </w:p>
        </w:tc>
        <w:tc>
          <w:tcPr>
            <w:tcW w:w="747" w:type="pct"/>
            <w:vMerge w:val="continue"/>
            <w:tcBorders>
              <w:tl2br w:val="nil"/>
              <w:tr2bl w:val="nil"/>
            </w:tcBorders>
            <w:noWrap/>
            <w:vAlign w:val="center"/>
          </w:tcPr>
          <w:p w14:paraId="4329B247">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lang w:val="en-US" w:eastAsia="zh-CN"/>
              </w:rPr>
            </w:pPr>
          </w:p>
        </w:tc>
        <w:tc>
          <w:tcPr>
            <w:tcW w:w="1093" w:type="pct"/>
            <w:tcBorders>
              <w:tl2br w:val="nil"/>
              <w:tr2bl w:val="nil"/>
            </w:tcBorders>
            <w:noWrap/>
            <w:vAlign w:val="center"/>
          </w:tcPr>
          <w:p w14:paraId="33553C5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Cs w:val="21"/>
                <w:lang w:eastAsia="zh-CN"/>
              </w:rPr>
            </w:pPr>
            <w:r>
              <w:rPr>
                <w:rFonts w:hint="eastAsia" w:ascii="Times New Roman" w:hAnsi="Times New Roman" w:cs="Times New Roman"/>
                <w:b/>
                <w:bCs/>
                <w:color w:val="auto"/>
                <w:kern w:val="0"/>
                <w:szCs w:val="21"/>
                <w:lang w:eastAsia="zh-CN"/>
              </w:rPr>
              <w:t>一级保护区</w:t>
            </w:r>
          </w:p>
        </w:tc>
        <w:tc>
          <w:tcPr>
            <w:tcW w:w="748" w:type="pct"/>
            <w:tcBorders>
              <w:tl2br w:val="nil"/>
              <w:tr2bl w:val="nil"/>
            </w:tcBorders>
            <w:noWrap/>
            <w:vAlign w:val="center"/>
          </w:tcPr>
          <w:p w14:paraId="79185F7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Cs w:val="21"/>
                <w:lang w:eastAsia="zh-CN"/>
              </w:rPr>
            </w:pPr>
            <w:r>
              <w:rPr>
                <w:rFonts w:hint="eastAsia" w:ascii="Times New Roman" w:hAnsi="Times New Roman" w:cs="Times New Roman"/>
                <w:b/>
                <w:bCs/>
                <w:color w:val="auto"/>
                <w:kern w:val="0"/>
                <w:szCs w:val="21"/>
                <w:lang w:eastAsia="zh-CN"/>
              </w:rPr>
              <w:t>准保护区</w:t>
            </w:r>
          </w:p>
        </w:tc>
        <w:tc>
          <w:tcPr>
            <w:tcW w:w="592" w:type="pct"/>
            <w:tcBorders>
              <w:tl2br w:val="nil"/>
              <w:tr2bl w:val="nil"/>
            </w:tcBorders>
            <w:noWrap/>
            <w:vAlign w:val="center"/>
          </w:tcPr>
          <w:p w14:paraId="3280F22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Cs w:val="21"/>
                <w:lang w:eastAsia="zh-CN"/>
              </w:rPr>
              <w:t>一级保护区</w:t>
            </w:r>
          </w:p>
        </w:tc>
        <w:tc>
          <w:tcPr>
            <w:tcW w:w="581" w:type="pct"/>
            <w:tcBorders>
              <w:tl2br w:val="nil"/>
              <w:tr2bl w:val="nil"/>
            </w:tcBorders>
            <w:noWrap/>
            <w:vAlign w:val="center"/>
          </w:tcPr>
          <w:p w14:paraId="1C8186E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Cs w:val="21"/>
                <w:lang w:eastAsia="zh-CN"/>
              </w:rPr>
              <w:t>准保护区</w:t>
            </w:r>
          </w:p>
        </w:tc>
        <w:tc>
          <w:tcPr>
            <w:tcW w:w="725" w:type="pct"/>
            <w:vMerge w:val="continue"/>
            <w:tcBorders>
              <w:tl2br w:val="nil"/>
              <w:tr2bl w:val="nil"/>
            </w:tcBorders>
            <w:noWrap/>
            <w:vAlign w:val="center"/>
          </w:tcPr>
          <w:p w14:paraId="51C06F37">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rPr>
            </w:pPr>
          </w:p>
        </w:tc>
      </w:tr>
      <w:tr w14:paraId="19621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11" w:type="pct"/>
            <w:vMerge w:val="restart"/>
            <w:tcBorders>
              <w:tl2br w:val="nil"/>
              <w:tr2bl w:val="nil"/>
            </w:tcBorders>
            <w:noWrap/>
            <w:vAlign w:val="center"/>
          </w:tcPr>
          <w:p w14:paraId="23B351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val="0"/>
                <w:bCs/>
                <w:color w:val="auto"/>
                <w:sz w:val="21"/>
                <w:szCs w:val="21"/>
                <w:lang w:val="en-US" w:eastAsia="zh-CN"/>
              </w:rPr>
              <w:t>一级保护区</w:t>
            </w:r>
          </w:p>
        </w:tc>
        <w:tc>
          <w:tcPr>
            <w:tcW w:w="747" w:type="pct"/>
            <w:tcBorders>
              <w:tl2br w:val="nil"/>
              <w:tr2bl w:val="nil"/>
            </w:tcBorders>
            <w:noWrap/>
            <w:vAlign w:val="center"/>
          </w:tcPr>
          <w:p w14:paraId="44C8EC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 w:val="0"/>
                <w:bCs/>
                <w:color w:val="auto"/>
                <w:sz w:val="21"/>
                <w:szCs w:val="21"/>
              </w:rPr>
              <w:t>1#井</w:t>
            </w:r>
          </w:p>
        </w:tc>
        <w:tc>
          <w:tcPr>
            <w:tcW w:w="1093" w:type="pct"/>
            <w:tcBorders>
              <w:tl2br w:val="nil"/>
              <w:tr2bl w:val="nil"/>
            </w:tcBorders>
            <w:noWrap/>
            <w:vAlign w:val="center"/>
          </w:tcPr>
          <w:p w14:paraId="33D90F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以现有</w:t>
            </w:r>
            <w:r>
              <w:rPr>
                <w:rFonts w:hint="eastAsia" w:ascii="Times New Roman" w:hAnsi="Times New Roman" w:cs="Times New Roman"/>
                <w:color w:val="auto"/>
                <w:kern w:val="0"/>
                <w:szCs w:val="21"/>
                <w:lang w:val="en-US" w:eastAsia="zh-CN"/>
              </w:rPr>
              <w:t>站</w:t>
            </w:r>
            <w:r>
              <w:rPr>
                <w:rFonts w:hint="default" w:ascii="Times New Roman" w:hAnsi="Times New Roman" w:cs="Times New Roman"/>
                <w:color w:val="auto"/>
                <w:kern w:val="0"/>
                <w:szCs w:val="21"/>
              </w:rPr>
              <w:t>房围墙为界，</w:t>
            </w:r>
            <w:r>
              <w:rPr>
                <w:rFonts w:hint="eastAsia" w:ascii="Times New Roman" w:hAnsi="Times New Roman" w:cs="Times New Roman"/>
                <w:color w:val="auto"/>
                <w:kern w:val="0"/>
                <w:szCs w:val="21"/>
                <w:lang w:val="en-US" w:eastAsia="zh-CN"/>
              </w:rPr>
              <w:t>30</w:t>
            </w:r>
            <w:r>
              <w:rPr>
                <w:rFonts w:hint="default" w:ascii="Times New Roman" w:hAnsi="Times New Roman" w:cs="Times New Roman"/>
                <w:color w:val="auto"/>
                <w:kern w:val="0"/>
                <w:szCs w:val="21"/>
              </w:rPr>
              <w:t>m×</w:t>
            </w:r>
            <w:r>
              <w:rPr>
                <w:rFonts w:hint="eastAsia" w:ascii="Times New Roman" w:hAnsi="Times New Roman" w:cs="Times New Roman"/>
                <w:color w:val="auto"/>
                <w:kern w:val="0"/>
                <w:szCs w:val="21"/>
                <w:lang w:val="en-US" w:eastAsia="zh-CN"/>
              </w:rPr>
              <w:t>10</w:t>
            </w:r>
            <w:r>
              <w:rPr>
                <w:rFonts w:hint="default" w:ascii="Times New Roman" w:hAnsi="Times New Roman" w:cs="Times New Roman"/>
                <w:color w:val="auto"/>
                <w:kern w:val="0"/>
                <w:szCs w:val="21"/>
              </w:rPr>
              <w:t>m的长方形区域</w:t>
            </w:r>
            <w:r>
              <w:rPr>
                <w:rFonts w:hint="default" w:ascii="Times New Roman" w:hAnsi="Times New Roman" w:cs="Times New Roman"/>
                <w:color w:val="auto"/>
                <w:kern w:val="0"/>
                <w:szCs w:val="21"/>
                <w:lang w:eastAsia="zh-CN"/>
              </w:rPr>
              <w:t>。</w:t>
            </w:r>
          </w:p>
        </w:tc>
        <w:tc>
          <w:tcPr>
            <w:tcW w:w="748" w:type="pct"/>
            <w:vMerge w:val="restart"/>
            <w:tcBorders>
              <w:tl2br w:val="nil"/>
              <w:tr2bl w:val="nil"/>
            </w:tcBorders>
            <w:noWrap/>
            <w:vAlign w:val="center"/>
          </w:tcPr>
          <w:p w14:paraId="406F938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lang w:val="en-US" w:eastAsia="zh-CN"/>
              </w:rPr>
              <w:t>一级保护区范围边界外围30m区域</w:t>
            </w:r>
          </w:p>
        </w:tc>
        <w:tc>
          <w:tcPr>
            <w:tcW w:w="592" w:type="pct"/>
            <w:tcBorders>
              <w:tl2br w:val="nil"/>
              <w:tr2bl w:val="nil"/>
            </w:tcBorders>
            <w:noWrap/>
            <w:vAlign w:val="center"/>
          </w:tcPr>
          <w:p w14:paraId="42A75EB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300</w:t>
            </w:r>
          </w:p>
        </w:tc>
        <w:tc>
          <w:tcPr>
            <w:tcW w:w="581" w:type="pct"/>
            <w:tcBorders>
              <w:tl2br w:val="nil"/>
              <w:tr2bl w:val="nil"/>
            </w:tcBorders>
            <w:noWrap/>
            <w:vAlign w:val="center"/>
          </w:tcPr>
          <w:p w14:paraId="0F4233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6300</w:t>
            </w:r>
          </w:p>
        </w:tc>
        <w:tc>
          <w:tcPr>
            <w:tcW w:w="725" w:type="pct"/>
            <w:vMerge w:val="restart"/>
            <w:tcBorders>
              <w:tl2br w:val="nil"/>
              <w:tr2bl w:val="nil"/>
            </w:tcBorders>
            <w:noWrap/>
            <w:vAlign w:val="center"/>
          </w:tcPr>
          <w:p w14:paraId="6F5804D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《地下水质量标准》（GB/T14848-2017）Ⅲ类标准</w:t>
            </w:r>
          </w:p>
        </w:tc>
      </w:tr>
      <w:tr w14:paraId="0801E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11" w:type="pct"/>
            <w:vMerge w:val="continue"/>
            <w:tcBorders>
              <w:tl2br w:val="nil"/>
              <w:tr2bl w:val="nil"/>
            </w:tcBorders>
            <w:noWrap/>
            <w:vAlign w:val="center"/>
          </w:tcPr>
          <w:p w14:paraId="32BF458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747" w:type="pct"/>
            <w:tcBorders>
              <w:tl2br w:val="nil"/>
              <w:tr2bl w:val="nil"/>
            </w:tcBorders>
            <w:noWrap/>
            <w:vAlign w:val="center"/>
          </w:tcPr>
          <w:p w14:paraId="25C9D9F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井</w:t>
            </w:r>
          </w:p>
        </w:tc>
        <w:tc>
          <w:tcPr>
            <w:tcW w:w="1093" w:type="pct"/>
            <w:tcBorders>
              <w:tl2br w:val="nil"/>
              <w:tr2bl w:val="nil"/>
            </w:tcBorders>
            <w:noWrap/>
            <w:vAlign w:val="center"/>
          </w:tcPr>
          <w:p w14:paraId="3EA965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以现有</w:t>
            </w:r>
            <w:r>
              <w:rPr>
                <w:rFonts w:hint="eastAsia" w:ascii="Times New Roman" w:hAnsi="Times New Roman" w:cs="Times New Roman"/>
                <w:color w:val="auto"/>
                <w:kern w:val="0"/>
                <w:szCs w:val="21"/>
                <w:lang w:val="en-US" w:eastAsia="zh-CN"/>
              </w:rPr>
              <w:t>站</w:t>
            </w:r>
            <w:r>
              <w:rPr>
                <w:rFonts w:hint="default" w:ascii="Times New Roman" w:hAnsi="Times New Roman" w:cs="Times New Roman"/>
                <w:color w:val="auto"/>
                <w:kern w:val="0"/>
                <w:szCs w:val="21"/>
              </w:rPr>
              <w:t>房围墙为界，</w:t>
            </w:r>
            <w:r>
              <w:rPr>
                <w:rFonts w:hint="eastAsia" w:ascii="Times New Roman" w:hAnsi="Times New Roman" w:cs="Times New Roman"/>
                <w:color w:val="auto"/>
                <w:kern w:val="0"/>
                <w:szCs w:val="21"/>
                <w:lang w:val="en-US" w:eastAsia="zh-CN"/>
              </w:rPr>
              <w:t>15</w:t>
            </w:r>
            <w:r>
              <w:rPr>
                <w:rFonts w:hint="default" w:ascii="Times New Roman" w:hAnsi="Times New Roman" w:cs="Times New Roman"/>
                <w:color w:val="auto"/>
                <w:kern w:val="0"/>
                <w:szCs w:val="21"/>
              </w:rPr>
              <w:t>m×</w:t>
            </w:r>
            <w:r>
              <w:rPr>
                <w:rFonts w:hint="eastAsia" w:ascii="Times New Roman" w:hAnsi="Times New Roman" w:cs="Times New Roman"/>
                <w:color w:val="auto"/>
                <w:kern w:val="0"/>
                <w:szCs w:val="21"/>
                <w:lang w:val="en-US" w:eastAsia="zh-CN"/>
              </w:rPr>
              <w:t>12</w:t>
            </w:r>
            <w:r>
              <w:rPr>
                <w:rFonts w:hint="default" w:ascii="Times New Roman" w:hAnsi="Times New Roman" w:cs="Times New Roman"/>
                <w:color w:val="auto"/>
                <w:kern w:val="0"/>
                <w:szCs w:val="21"/>
              </w:rPr>
              <w:t>m的长方形区域</w:t>
            </w:r>
          </w:p>
        </w:tc>
        <w:tc>
          <w:tcPr>
            <w:tcW w:w="748" w:type="pct"/>
            <w:vMerge w:val="continue"/>
            <w:tcBorders>
              <w:tl2br w:val="nil"/>
              <w:tr2bl w:val="nil"/>
            </w:tcBorders>
            <w:noWrap/>
            <w:vAlign w:val="center"/>
          </w:tcPr>
          <w:p w14:paraId="0FC9CAC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592" w:type="pct"/>
            <w:tcBorders>
              <w:tl2br w:val="nil"/>
              <w:tr2bl w:val="nil"/>
            </w:tcBorders>
            <w:noWrap/>
            <w:vAlign w:val="center"/>
          </w:tcPr>
          <w:p w14:paraId="393FAA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180</w:t>
            </w:r>
          </w:p>
        </w:tc>
        <w:tc>
          <w:tcPr>
            <w:tcW w:w="581" w:type="pct"/>
            <w:tcBorders>
              <w:tl2br w:val="nil"/>
              <w:tr2bl w:val="nil"/>
            </w:tcBorders>
            <w:noWrap/>
            <w:vAlign w:val="center"/>
          </w:tcPr>
          <w:p w14:paraId="2FE8AFE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5400</w:t>
            </w:r>
          </w:p>
        </w:tc>
        <w:tc>
          <w:tcPr>
            <w:tcW w:w="725" w:type="pct"/>
            <w:vMerge w:val="continue"/>
            <w:tcBorders>
              <w:tl2br w:val="nil"/>
              <w:tr2bl w:val="nil"/>
            </w:tcBorders>
            <w:noWrap/>
            <w:vAlign w:val="center"/>
          </w:tcPr>
          <w:p w14:paraId="0AF33FC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2DA95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100" w:type="pct"/>
            <w:gridSpan w:val="4"/>
            <w:vAlign w:val="center"/>
          </w:tcPr>
          <w:p w14:paraId="650030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合   计</w:t>
            </w:r>
          </w:p>
        </w:tc>
        <w:tc>
          <w:tcPr>
            <w:tcW w:w="592" w:type="pct"/>
            <w:vAlign w:val="center"/>
          </w:tcPr>
          <w:p w14:paraId="72DE61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i w:val="0"/>
                <w:color w:val="auto"/>
                <w:kern w:val="0"/>
                <w:sz w:val="21"/>
                <w:szCs w:val="21"/>
                <w:u w:val="none"/>
                <w:lang w:val="en-US" w:eastAsia="zh-CN" w:bidi="ar"/>
              </w:rPr>
              <w:t>480</w:t>
            </w:r>
          </w:p>
        </w:tc>
        <w:tc>
          <w:tcPr>
            <w:tcW w:w="581" w:type="pct"/>
            <w:vAlign w:val="center"/>
          </w:tcPr>
          <w:p w14:paraId="1C3381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i w:val="0"/>
                <w:color w:val="auto"/>
                <w:kern w:val="0"/>
                <w:sz w:val="21"/>
                <w:szCs w:val="21"/>
                <w:u w:val="none"/>
                <w:lang w:val="en-US" w:eastAsia="zh-CN" w:bidi="ar"/>
              </w:rPr>
              <w:t>11700</w:t>
            </w:r>
          </w:p>
        </w:tc>
        <w:tc>
          <w:tcPr>
            <w:tcW w:w="725" w:type="pct"/>
            <w:vMerge w:val="continue"/>
            <w:vAlign w:val="center"/>
          </w:tcPr>
          <w:p w14:paraId="2950300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bookmarkEnd w:id="79"/>
    </w:tbl>
    <w:p w14:paraId="75716FE9">
      <w:pPr>
        <w:pStyle w:val="3"/>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jc w:val="left"/>
        <w:textAlignment w:val="auto"/>
        <w:rPr>
          <w:rFonts w:hint="default" w:ascii="Times New Roman" w:hAnsi="Times New Roman" w:eastAsia="宋体" w:cs="Times New Roman"/>
          <w:b/>
          <w:color w:val="auto"/>
          <w:sz w:val="28"/>
          <w:szCs w:val="28"/>
        </w:rPr>
      </w:pPr>
      <w:bookmarkStart w:id="80" w:name="_Toc356"/>
      <w:r>
        <w:rPr>
          <w:rFonts w:hint="default" w:ascii="Times New Roman" w:hAnsi="Times New Roman" w:eastAsia="宋体" w:cs="Times New Roman"/>
          <w:b/>
          <w:color w:val="auto"/>
          <w:sz w:val="28"/>
          <w:szCs w:val="28"/>
          <w:lang w:val="en-US" w:eastAsia="zh-CN"/>
        </w:rPr>
        <w:t>3.3 保护区定界方案</w:t>
      </w:r>
      <w:bookmarkEnd w:id="80"/>
    </w:p>
    <w:p w14:paraId="6AF655A1">
      <w:pPr>
        <w:pStyle w:val="10"/>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结合水源地实际情况，</w:t>
      </w:r>
      <w:r>
        <w:rPr>
          <w:rFonts w:hint="eastAsia" w:ascii="Times New Roman" w:hAnsi="Times New Roman" w:cs="Times New Roman"/>
          <w:color w:val="auto"/>
          <w:lang w:val="en-US" w:eastAsia="zh-CN"/>
        </w:rPr>
        <w:t>西安市灞桥区狄寨街道狄寨村</w:t>
      </w:r>
      <w:r>
        <w:rPr>
          <w:rFonts w:hint="default" w:ascii="Times New Roman" w:hAnsi="Times New Roman" w:cs="Times New Roman"/>
          <w:color w:val="auto"/>
          <w:lang w:val="en-US" w:eastAsia="zh-CN"/>
        </w:rPr>
        <w:t>水源地内水源井设一级保护区</w:t>
      </w:r>
      <w:r>
        <w:rPr>
          <w:rFonts w:hint="eastAsia" w:ascii="Times New Roman" w:hAnsi="Times New Roman" w:cs="Times New Roman"/>
          <w:color w:val="auto"/>
          <w:lang w:val="en-US" w:eastAsia="zh-CN"/>
        </w:rPr>
        <w:t>及准保护区</w:t>
      </w:r>
      <w:r>
        <w:rPr>
          <w:rFonts w:hint="default" w:ascii="Times New Roman" w:hAnsi="Times New Roman" w:cs="Times New Roman"/>
          <w:color w:val="auto"/>
          <w:lang w:val="en-US" w:eastAsia="zh-CN"/>
        </w:rPr>
        <w:t>，根据</w:t>
      </w:r>
      <w:r>
        <w:rPr>
          <w:rFonts w:hint="eastAsia" w:ascii="Times New Roman" w:hAnsi="Times New Roman" w:cs="Times New Roman"/>
          <w:color w:val="auto"/>
          <w:lang w:val="en-US" w:eastAsia="zh-CN"/>
        </w:rPr>
        <w:t>经纬度</w:t>
      </w:r>
      <w:r>
        <w:rPr>
          <w:rFonts w:hint="default" w:ascii="Times New Roman" w:hAnsi="Times New Roman" w:cs="Times New Roman"/>
          <w:color w:val="auto"/>
          <w:lang w:val="en-US" w:eastAsia="zh-CN"/>
        </w:rPr>
        <w:t>坐标，水源保护区地形、地标、地物特点，确定一级保护区及准保护区的地理界线，以西北角1点作为起始点，并按照顺时针方向确定主要拐点的经纬度坐标，绘制出</w:t>
      </w:r>
      <w:r>
        <w:rPr>
          <w:rFonts w:hint="eastAsia" w:ascii="Times New Roman" w:hAnsi="Times New Roman" w:cs="Times New Roman"/>
          <w:color w:val="auto"/>
          <w:lang w:val="en-US" w:eastAsia="zh-CN"/>
        </w:rPr>
        <w:t>西安市灞桥区狄寨街道狄寨村</w:t>
      </w:r>
      <w:r>
        <w:rPr>
          <w:rFonts w:hint="default" w:ascii="Times New Roman" w:hAnsi="Times New Roman" w:cs="Times New Roman"/>
          <w:color w:val="auto"/>
          <w:lang w:val="en-US" w:eastAsia="zh-CN"/>
        </w:rPr>
        <w:t>水源地一级保护区坐标红线图及边界拐点坐标。</w:t>
      </w:r>
    </w:p>
    <w:p w14:paraId="462124F3">
      <w:pPr>
        <w:pStyle w:val="4"/>
        <w:spacing w:before="120" w:after="120"/>
        <w:rPr>
          <w:rFonts w:hint="default" w:ascii="Times New Roman" w:hAnsi="Times New Roman" w:cs="Times New Roman"/>
          <w:color w:val="auto"/>
        </w:rPr>
      </w:pPr>
      <w:r>
        <w:rPr>
          <w:rFonts w:hint="default" w:ascii="Times New Roman" w:hAnsi="Times New Roman" w:cs="Times New Roman"/>
          <w:color w:val="auto"/>
          <w:lang w:val="en-US" w:eastAsia="zh-CN"/>
        </w:rPr>
        <w:t>3.3.1 饮用水</w:t>
      </w:r>
      <w:r>
        <w:rPr>
          <w:rFonts w:hint="default" w:ascii="Times New Roman" w:hAnsi="Times New Roman" w:cs="Times New Roman"/>
          <w:color w:val="auto"/>
        </w:rPr>
        <w:t>水源地边界拐点坐标</w:t>
      </w:r>
    </w:p>
    <w:p w14:paraId="7CBD5A83">
      <w:pPr>
        <w:autoSpaceDE w:val="0"/>
        <w:autoSpaceDN w:val="0"/>
        <w:adjustRightInd w:val="0"/>
        <w:ind w:firstLine="560" w:firstLineChars="200"/>
        <w:jc w:val="left"/>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lang w:val="en-US" w:eastAsia="zh-CN"/>
        </w:rPr>
        <w:t>饮用水</w:t>
      </w:r>
      <w:r>
        <w:rPr>
          <w:rFonts w:hint="default" w:ascii="Times New Roman" w:hAnsi="Times New Roman" w:cs="Times New Roman"/>
          <w:color w:val="auto"/>
          <w:sz w:val="28"/>
          <w:szCs w:val="28"/>
        </w:rPr>
        <w:t>水源</w:t>
      </w:r>
      <w:r>
        <w:rPr>
          <w:rFonts w:hint="default" w:ascii="Times New Roman" w:hAnsi="Times New Roman" w:cs="Times New Roman"/>
          <w:color w:val="auto"/>
          <w:sz w:val="28"/>
          <w:szCs w:val="28"/>
          <w:lang w:val="en-US" w:eastAsia="zh-CN"/>
        </w:rPr>
        <w:t>保护区界桩坐标具体情况如下。</w:t>
      </w:r>
    </w:p>
    <w:p w14:paraId="23C7B02B">
      <w:pPr>
        <w:rPr>
          <w:rFonts w:hint="default" w:ascii="Times New Roman" w:hAnsi="Times New Roman" w:cs="Times New Roman"/>
          <w:b/>
          <w:color w:val="auto"/>
          <w:sz w:val="24"/>
        </w:rPr>
      </w:pPr>
      <w:r>
        <w:rPr>
          <w:rFonts w:hint="default" w:ascii="Times New Roman" w:hAnsi="Times New Roman" w:cs="Times New Roman"/>
          <w:b/>
          <w:color w:val="auto"/>
          <w:sz w:val="24"/>
        </w:rPr>
        <w:br w:type="page"/>
      </w:r>
    </w:p>
    <w:p w14:paraId="07D9B3AB">
      <w:pPr>
        <w:spacing w:line="520" w:lineRule="exact"/>
        <w:jc w:val="center"/>
        <w:rPr>
          <w:rFonts w:hint="default" w:ascii="Times New Roman" w:hAnsi="Times New Roman" w:cs="Times New Roman"/>
          <w:b/>
          <w:color w:val="auto"/>
          <w:sz w:val="24"/>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0FDA4F71">
      <w:pPr>
        <w:spacing w:line="52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表3.</w:t>
      </w: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1</w:t>
      </w:r>
      <w:r>
        <w:rPr>
          <w:rFonts w:hint="default" w:ascii="Times New Roman" w:hAnsi="Times New Roman" w:cs="Times New Roman"/>
          <w:b/>
          <w:color w:val="auto"/>
          <w:sz w:val="24"/>
        </w:rPr>
        <w:t xml:space="preserve">   饮用水水源</w:t>
      </w:r>
      <w:r>
        <w:rPr>
          <w:rFonts w:hint="default" w:ascii="Times New Roman" w:hAnsi="Times New Roman" w:cs="Times New Roman"/>
          <w:b/>
          <w:color w:val="auto"/>
          <w:sz w:val="24"/>
          <w:lang w:val="en-US" w:eastAsia="zh-CN"/>
        </w:rPr>
        <w:t>地</w:t>
      </w:r>
      <w:r>
        <w:rPr>
          <w:rFonts w:hint="default" w:ascii="Times New Roman" w:hAnsi="Times New Roman" w:cs="Times New Roman"/>
          <w:b/>
          <w:color w:val="auto"/>
          <w:sz w:val="24"/>
        </w:rPr>
        <w:t>保护区范围拐点坐标</w:t>
      </w:r>
    </w:p>
    <w:tbl>
      <w:tblPr>
        <w:tblStyle w:val="19"/>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724"/>
        <w:gridCol w:w="1799"/>
        <w:gridCol w:w="1724"/>
        <w:gridCol w:w="1829"/>
        <w:gridCol w:w="1664"/>
        <w:gridCol w:w="1559"/>
        <w:gridCol w:w="1574"/>
        <w:gridCol w:w="1614"/>
      </w:tblGrid>
      <w:tr w14:paraId="7236A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36" w:type="pct"/>
            <w:vMerge w:val="restart"/>
            <w:tcBorders>
              <w:tl2br w:val="nil"/>
              <w:tr2bl w:val="nil"/>
            </w:tcBorders>
            <w:noWrap/>
            <w:vAlign w:val="center"/>
          </w:tcPr>
          <w:p w14:paraId="365470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水井编号</w:t>
            </w:r>
          </w:p>
        </w:tc>
        <w:tc>
          <w:tcPr>
            <w:tcW w:w="2499" w:type="pct"/>
            <w:gridSpan w:val="4"/>
            <w:tcBorders>
              <w:tl2br w:val="nil"/>
              <w:tr2bl w:val="nil"/>
            </w:tcBorders>
            <w:noWrap/>
            <w:vAlign w:val="center"/>
          </w:tcPr>
          <w:p w14:paraId="4788DE8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Cs w:val="21"/>
                <w:lang w:eastAsia="zh-CN"/>
              </w:rPr>
            </w:pPr>
            <w:r>
              <w:rPr>
                <w:rFonts w:hint="eastAsia" w:ascii="Times New Roman" w:hAnsi="Times New Roman" w:cs="Times New Roman"/>
                <w:b/>
                <w:bCs/>
                <w:color w:val="auto"/>
                <w:kern w:val="0"/>
                <w:szCs w:val="21"/>
                <w:lang w:eastAsia="zh-CN"/>
              </w:rPr>
              <w:t>一级保护区</w:t>
            </w:r>
          </w:p>
        </w:tc>
        <w:tc>
          <w:tcPr>
            <w:tcW w:w="2264" w:type="pct"/>
            <w:gridSpan w:val="4"/>
            <w:tcBorders>
              <w:tl2br w:val="nil"/>
              <w:tr2bl w:val="nil"/>
            </w:tcBorders>
            <w:noWrap/>
            <w:vAlign w:val="center"/>
          </w:tcPr>
          <w:p w14:paraId="1A58B15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Cs w:val="21"/>
                <w:lang w:eastAsia="zh-CN"/>
              </w:rPr>
            </w:pPr>
            <w:r>
              <w:rPr>
                <w:rFonts w:hint="eastAsia" w:ascii="Times New Roman" w:hAnsi="Times New Roman" w:cs="Times New Roman"/>
                <w:b/>
                <w:bCs/>
                <w:color w:val="auto"/>
                <w:kern w:val="0"/>
                <w:szCs w:val="21"/>
                <w:lang w:eastAsia="zh-CN"/>
              </w:rPr>
              <w:t>准保护区</w:t>
            </w:r>
          </w:p>
        </w:tc>
      </w:tr>
      <w:tr w14:paraId="0F005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36" w:type="pct"/>
            <w:vMerge w:val="continue"/>
            <w:tcBorders>
              <w:tl2br w:val="nil"/>
              <w:tr2bl w:val="nil"/>
            </w:tcBorders>
            <w:noWrap/>
            <w:vAlign w:val="center"/>
          </w:tcPr>
          <w:p w14:paraId="3538C8F9">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lang w:val="en-US" w:eastAsia="zh-CN"/>
              </w:rPr>
            </w:pPr>
          </w:p>
        </w:tc>
        <w:tc>
          <w:tcPr>
            <w:tcW w:w="608" w:type="pct"/>
            <w:tcBorders>
              <w:tl2br w:val="nil"/>
              <w:tr2bl w:val="nil"/>
            </w:tcBorders>
            <w:noWrap/>
            <w:vAlign w:val="center"/>
          </w:tcPr>
          <w:p w14:paraId="20FEF02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1点</w:t>
            </w:r>
            <w:r>
              <w:rPr>
                <w:rFonts w:hint="default" w:ascii="Times New Roman" w:hAnsi="Times New Roman" w:cs="Times New Roman"/>
                <w:b/>
                <w:bCs/>
                <w:color w:val="auto"/>
                <w:kern w:val="0"/>
                <w:szCs w:val="21"/>
                <w:lang w:eastAsia="zh-CN"/>
              </w:rPr>
              <w:t>（西北角）</w:t>
            </w:r>
          </w:p>
        </w:tc>
        <w:tc>
          <w:tcPr>
            <w:tcW w:w="635" w:type="pct"/>
            <w:tcBorders>
              <w:tl2br w:val="nil"/>
              <w:tr2bl w:val="nil"/>
            </w:tcBorders>
            <w:noWrap/>
            <w:vAlign w:val="center"/>
          </w:tcPr>
          <w:p w14:paraId="7CBD7F7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2点（东北角）</w:t>
            </w:r>
          </w:p>
        </w:tc>
        <w:tc>
          <w:tcPr>
            <w:tcW w:w="608" w:type="pct"/>
            <w:tcBorders>
              <w:tl2br w:val="nil"/>
              <w:tr2bl w:val="nil"/>
            </w:tcBorders>
            <w:noWrap/>
            <w:vAlign w:val="center"/>
          </w:tcPr>
          <w:p w14:paraId="07F836A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3点（东南角）</w:t>
            </w:r>
          </w:p>
        </w:tc>
        <w:tc>
          <w:tcPr>
            <w:tcW w:w="646" w:type="pct"/>
            <w:tcBorders>
              <w:tl2br w:val="nil"/>
              <w:tr2bl w:val="nil"/>
            </w:tcBorders>
            <w:noWrap/>
            <w:vAlign w:val="center"/>
          </w:tcPr>
          <w:p w14:paraId="599D0A3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4点（西南角）</w:t>
            </w:r>
          </w:p>
        </w:tc>
        <w:tc>
          <w:tcPr>
            <w:tcW w:w="587" w:type="pct"/>
            <w:tcBorders>
              <w:tl2br w:val="nil"/>
              <w:tr2bl w:val="nil"/>
            </w:tcBorders>
            <w:noWrap/>
            <w:vAlign w:val="center"/>
          </w:tcPr>
          <w:p w14:paraId="6986B34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1点</w:t>
            </w:r>
            <w:r>
              <w:rPr>
                <w:rFonts w:hint="default" w:ascii="Times New Roman" w:hAnsi="Times New Roman" w:cs="Times New Roman"/>
                <w:b/>
                <w:bCs/>
                <w:color w:val="auto"/>
                <w:kern w:val="0"/>
                <w:szCs w:val="21"/>
                <w:lang w:eastAsia="zh-CN"/>
              </w:rPr>
              <w:t>（西北角）</w:t>
            </w:r>
          </w:p>
        </w:tc>
        <w:tc>
          <w:tcPr>
            <w:tcW w:w="550" w:type="pct"/>
            <w:tcBorders>
              <w:tl2br w:val="nil"/>
              <w:tr2bl w:val="nil"/>
            </w:tcBorders>
            <w:noWrap/>
            <w:vAlign w:val="center"/>
          </w:tcPr>
          <w:p w14:paraId="6CE284B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2点（东北角）</w:t>
            </w:r>
          </w:p>
        </w:tc>
        <w:tc>
          <w:tcPr>
            <w:tcW w:w="555" w:type="pct"/>
            <w:tcBorders>
              <w:tl2br w:val="nil"/>
              <w:tr2bl w:val="nil"/>
            </w:tcBorders>
            <w:noWrap/>
            <w:vAlign w:val="center"/>
          </w:tcPr>
          <w:p w14:paraId="472BB9B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3点（东南角）</w:t>
            </w:r>
          </w:p>
        </w:tc>
        <w:tc>
          <w:tcPr>
            <w:tcW w:w="570" w:type="pct"/>
            <w:tcBorders>
              <w:tl2br w:val="nil"/>
              <w:tr2bl w:val="nil"/>
            </w:tcBorders>
            <w:noWrap/>
            <w:vAlign w:val="center"/>
          </w:tcPr>
          <w:p w14:paraId="0B7C428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4点（西南角）</w:t>
            </w:r>
          </w:p>
        </w:tc>
      </w:tr>
      <w:tr w14:paraId="092B9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236" w:type="pct"/>
            <w:tcBorders>
              <w:tl2br w:val="nil"/>
              <w:tr2bl w:val="nil"/>
            </w:tcBorders>
            <w:noWrap/>
            <w:vAlign w:val="center"/>
          </w:tcPr>
          <w:p w14:paraId="0CA3E6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val="0"/>
                <w:bCs/>
                <w:color w:val="auto"/>
                <w:sz w:val="21"/>
                <w:szCs w:val="21"/>
              </w:rPr>
              <w:t>1#井</w:t>
            </w:r>
          </w:p>
        </w:tc>
        <w:tc>
          <w:tcPr>
            <w:tcW w:w="608" w:type="pct"/>
            <w:tcBorders>
              <w:tl2br w:val="nil"/>
              <w:tr2bl w:val="nil"/>
            </w:tcBorders>
            <w:noWrap/>
            <w:vAlign w:val="center"/>
          </w:tcPr>
          <w:p w14:paraId="79D1510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326945.36</w:t>
            </w:r>
          </w:p>
          <w:p w14:paraId="77A6BB8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3788562.49</w:t>
            </w:r>
          </w:p>
        </w:tc>
        <w:tc>
          <w:tcPr>
            <w:tcW w:w="635" w:type="pct"/>
            <w:tcBorders>
              <w:tl2br w:val="nil"/>
              <w:tr2bl w:val="nil"/>
            </w:tcBorders>
            <w:noWrap/>
            <w:vAlign w:val="center"/>
          </w:tcPr>
          <w:p w14:paraId="78287FC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326957.13</w:t>
            </w:r>
          </w:p>
          <w:p w14:paraId="63BA22C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3788556.38</w:t>
            </w:r>
          </w:p>
        </w:tc>
        <w:tc>
          <w:tcPr>
            <w:tcW w:w="608" w:type="pct"/>
            <w:tcBorders>
              <w:tl2br w:val="nil"/>
              <w:tr2bl w:val="nil"/>
            </w:tcBorders>
            <w:noWrap/>
            <w:vAlign w:val="center"/>
          </w:tcPr>
          <w:p w14:paraId="714251D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326945.25</w:t>
            </w:r>
          </w:p>
          <w:p w14:paraId="11C135C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3788529.51</w:t>
            </w:r>
          </w:p>
        </w:tc>
        <w:tc>
          <w:tcPr>
            <w:tcW w:w="646" w:type="pct"/>
            <w:tcBorders>
              <w:tl2br w:val="nil"/>
              <w:tr2bl w:val="nil"/>
            </w:tcBorders>
            <w:noWrap/>
            <w:vAlign w:val="center"/>
          </w:tcPr>
          <w:p w14:paraId="2998B6F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326894.75</w:t>
            </w:r>
          </w:p>
          <w:p w14:paraId="626E109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3788515.13</w:t>
            </w:r>
          </w:p>
        </w:tc>
        <w:tc>
          <w:tcPr>
            <w:tcW w:w="587" w:type="pct"/>
            <w:tcBorders>
              <w:tl2br w:val="nil"/>
              <w:tr2bl w:val="nil"/>
            </w:tcBorders>
            <w:noWrap/>
            <w:vAlign w:val="center"/>
          </w:tcPr>
          <w:p w14:paraId="660C59F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326928.01</w:t>
            </w:r>
          </w:p>
          <w:p w14:paraId="3145657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3788601.18</w:t>
            </w:r>
          </w:p>
        </w:tc>
        <w:tc>
          <w:tcPr>
            <w:tcW w:w="550" w:type="pct"/>
            <w:tcBorders>
              <w:tl2br w:val="nil"/>
              <w:tr2bl w:val="nil"/>
            </w:tcBorders>
            <w:noWrap/>
            <w:vAlign w:val="center"/>
          </w:tcPr>
          <w:p w14:paraId="60FF327D">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326997.30</w:t>
            </w:r>
          </w:p>
          <w:p w14:paraId="0DC32B7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3788574.64</w:t>
            </w:r>
          </w:p>
        </w:tc>
        <w:tc>
          <w:tcPr>
            <w:tcW w:w="555" w:type="pct"/>
            <w:tcBorders>
              <w:tl2br w:val="nil"/>
              <w:tr2bl w:val="nil"/>
            </w:tcBorders>
            <w:noWrap/>
            <w:vAlign w:val="center"/>
          </w:tcPr>
          <w:p w14:paraId="11DBBD02">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326961.58</w:t>
            </w:r>
          </w:p>
          <w:p w14:paraId="33F387B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3788488.63</w:t>
            </w:r>
          </w:p>
        </w:tc>
        <w:tc>
          <w:tcPr>
            <w:tcW w:w="570" w:type="pct"/>
            <w:tcBorders>
              <w:tl2br w:val="nil"/>
              <w:tr2bl w:val="nil"/>
            </w:tcBorders>
            <w:noWrap/>
            <w:vAlign w:val="center"/>
          </w:tcPr>
          <w:p w14:paraId="18340D0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326894.75</w:t>
            </w:r>
          </w:p>
          <w:p w14:paraId="7CCD69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3788515.13</w:t>
            </w:r>
          </w:p>
        </w:tc>
      </w:tr>
      <w:tr w14:paraId="3D84A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36" w:type="pct"/>
            <w:tcBorders>
              <w:tl2br w:val="nil"/>
              <w:tr2bl w:val="nil"/>
            </w:tcBorders>
            <w:noWrap/>
            <w:vAlign w:val="center"/>
          </w:tcPr>
          <w:p w14:paraId="1DD5EB9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井</w:t>
            </w:r>
          </w:p>
        </w:tc>
        <w:tc>
          <w:tcPr>
            <w:tcW w:w="608" w:type="pct"/>
            <w:tcBorders>
              <w:tl2br w:val="nil"/>
              <w:tr2bl w:val="nil"/>
            </w:tcBorders>
            <w:noWrap/>
            <w:vAlign w:val="center"/>
          </w:tcPr>
          <w:p w14:paraId="765F34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326637.40</w:t>
            </w:r>
          </w:p>
          <w:p w14:paraId="4B05E7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3788911.24</w:t>
            </w:r>
          </w:p>
        </w:tc>
        <w:tc>
          <w:tcPr>
            <w:tcW w:w="635" w:type="pct"/>
            <w:tcBorders>
              <w:tl2br w:val="nil"/>
              <w:tr2bl w:val="nil"/>
            </w:tcBorders>
            <w:noWrap/>
            <w:vAlign w:val="center"/>
          </w:tcPr>
          <w:p w14:paraId="01EC5E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326651.52</w:t>
            </w:r>
          </w:p>
          <w:p w14:paraId="62575A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3788905.70</w:t>
            </w:r>
          </w:p>
        </w:tc>
        <w:tc>
          <w:tcPr>
            <w:tcW w:w="608" w:type="pct"/>
            <w:tcBorders>
              <w:tl2br w:val="nil"/>
              <w:tr2bl w:val="nil"/>
            </w:tcBorders>
            <w:noWrap/>
            <w:vAlign w:val="center"/>
          </w:tcPr>
          <w:p w14:paraId="404D4079">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326646.50</w:t>
            </w:r>
          </w:p>
          <w:p w14:paraId="2862A8E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3788894.71</w:t>
            </w:r>
          </w:p>
        </w:tc>
        <w:tc>
          <w:tcPr>
            <w:tcW w:w="646" w:type="pct"/>
            <w:tcBorders>
              <w:tl2br w:val="nil"/>
              <w:tr2bl w:val="nil"/>
            </w:tcBorders>
            <w:noWrap/>
            <w:vAlign w:val="center"/>
          </w:tcPr>
          <w:p w14:paraId="43F6E94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326632.74</w:t>
            </w:r>
          </w:p>
          <w:p w14:paraId="3EE1CE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3788900.12</w:t>
            </w:r>
          </w:p>
        </w:tc>
        <w:tc>
          <w:tcPr>
            <w:tcW w:w="587" w:type="pct"/>
            <w:tcBorders>
              <w:tl2br w:val="nil"/>
              <w:tr2bl w:val="nil"/>
            </w:tcBorders>
            <w:noWrap/>
            <w:vAlign w:val="center"/>
          </w:tcPr>
          <w:p w14:paraId="6B42CCD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326622.39</w:t>
            </w:r>
          </w:p>
          <w:p w14:paraId="638608E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3788949.64</w:t>
            </w:r>
          </w:p>
        </w:tc>
        <w:tc>
          <w:tcPr>
            <w:tcW w:w="550" w:type="pct"/>
            <w:tcBorders>
              <w:tl2br w:val="nil"/>
              <w:tr2bl w:val="nil"/>
            </w:tcBorders>
            <w:noWrap/>
            <w:vAlign w:val="center"/>
          </w:tcPr>
          <w:p w14:paraId="2DB865A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326692.78</w:t>
            </w:r>
          </w:p>
          <w:p w14:paraId="587A40C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3788922.70</w:t>
            </w:r>
          </w:p>
        </w:tc>
        <w:tc>
          <w:tcPr>
            <w:tcW w:w="555" w:type="pct"/>
            <w:tcBorders>
              <w:tl2br w:val="nil"/>
              <w:tr2bl w:val="nil"/>
            </w:tcBorders>
            <w:noWrap/>
            <w:vAlign w:val="center"/>
          </w:tcPr>
          <w:p w14:paraId="64E8C26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326662.95</w:t>
            </w:r>
          </w:p>
          <w:p w14:paraId="60912DA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3788854.07</w:t>
            </w:r>
          </w:p>
        </w:tc>
        <w:tc>
          <w:tcPr>
            <w:tcW w:w="570" w:type="pct"/>
            <w:tcBorders>
              <w:tl2br w:val="nil"/>
              <w:tr2bl w:val="nil"/>
            </w:tcBorders>
            <w:noWrap/>
            <w:vAlign w:val="center"/>
          </w:tcPr>
          <w:p w14:paraId="2C8ED2B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326592.47</w:t>
            </w:r>
          </w:p>
          <w:p w14:paraId="6C98421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3788882.86</w:t>
            </w:r>
          </w:p>
        </w:tc>
      </w:tr>
    </w:tbl>
    <w:p w14:paraId="7913031B">
      <w:pPr>
        <w:rPr>
          <w:rFonts w:hint="default" w:ascii="Times New Roman" w:hAnsi="Times New Roman" w:eastAsia="宋体" w:cs="Times New Roman"/>
          <w:b/>
          <w:bCs/>
          <w:color w:val="auto"/>
          <w:kern w:val="44"/>
          <w:sz w:val="36"/>
          <w:szCs w:val="44"/>
          <w:lang w:val="en-US" w:eastAsia="zh-CN" w:bidi="ar-SA"/>
        </w:rPr>
      </w:pPr>
      <w:bookmarkStart w:id="81" w:name="_Toc513189384"/>
      <w:bookmarkStart w:id="82" w:name="_Toc42592581"/>
      <w:bookmarkStart w:id="83" w:name="_Toc16840"/>
      <w:r>
        <w:rPr>
          <w:rFonts w:hint="default" w:ascii="Times New Roman" w:hAnsi="Times New Roman" w:eastAsia="宋体" w:cs="Times New Roman"/>
          <w:b/>
          <w:bCs/>
          <w:color w:val="auto"/>
          <w:kern w:val="44"/>
          <w:sz w:val="36"/>
          <w:szCs w:val="44"/>
          <w:lang w:val="en-US" w:eastAsia="zh-CN" w:bidi="ar-SA"/>
        </w:rPr>
        <w:br w:type="page"/>
      </w:r>
    </w:p>
    <w:p w14:paraId="2028400C">
      <w:pPr>
        <w:keepNext/>
        <w:keepLines/>
        <w:widowControl w:val="0"/>
        <w:spacing w:before="340" w:after="330" w:line="578" w:lineRule="auto"/>
        <w:jc w:val="center"/>
        <w:outlineLvl w:val="0"/>
        <w:rPr>
          <w:rFonts w:hint="default" w:ascii="Times New Roman" w:hAnsi="Times New Roman" w:eastAsia="宋体" w:cs="Times New Roman"/>
          <w:b/>
          <w:bCs/>
          <w:color w:val="auto"/>
          <w:kern w:val="44"/>
          <w:sz w:val="36"/>
          <w:szCs w:val="44"/>
          <w:lang w:val="en-US"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7376080">
      <w:pPr>
        <w:keepNext/>
        <w:keepLines/>
        <w:widowControl w:val="0"/>
        <w:spacing w:before="340" w:after="330" w:line="578" w:lineRule="auto"/>
        <w:jc w:val="center"/>
        <w:outlineLvl w:val="0"/>
        <w:rPr>
          <w:rFonts w:hint="default" w:ascii="Times New Roman" w:hAnsi="Times New Roman" w:eastAsia="宋体" w:cs="Times New Roman"/>
          <w:b/>
          <w:bCs/>
          <w:color w:val="auto"/>
          <w:kern w:val="44"/>
          <w:sz w:val="36"/>
          <w:szCs w:val="44"/>
          <w:lang w:val="en-US" w:eastAsia="zh-CN" w:bidi="ar-SA"/>
        </w:rPr>
      </w:pPr>
      <w:bookmarkStart w:id="84" w:name="_Toc20442"/>
      <w:r>
        <w:rPr>
          <w:rFonts w:hint="default" w:ascii="Times New Roman" w:hAnsi="Times New Roman" w:eastAsia="宋体" w:cs="Times New Roman"/>
          <w:b/>
          <w:bCs/>
          <w:color w:val="auto"/>
          <w:kern w:val="44"/>
          <w:sz w:val="36"/>
          <w:szCs w:val="44"/>
          <w:lang w:val="en-US" w:eastAsia="zh-CN" w:bidi="ar-SA"/>
        </w:rPr>
        <w:t>四、饮用水水源保护区规范化建设与管理</w:t>
      </w:r>
      <w:bookmarkEnd w:id="81"/>
      <w:bookmarkEnd w:id="82"/>
      <w:r>
        <w:rPr>
          <w:rFonts w:hint="default" w:ascii="Times New Roman" w:hAnsi="Times New Roman" w:cs="Times New Roman"/>
          <w:b/>
          <w:bCs/>
          <w:color w:val="auto"/>
          <w:kern w:val="44"/>
          <w:sz w:val="36"/>
          <w:szCs w:val="44"/>
          <w:lang w:val="en-US" w:eastAsia="zh-CN" w:bidi="ar-SA"/>
        </w:rPr>
        <w:t>要求</w:t>
      </w:r>
      <w:bookmarkEnd w:id="83"/>
      <w:bookmarkEnd w:id="84"/>
    </w:p>
    <w:p w14:paraId="4D2D8BA2">
      <w:pPr>
        <w:keepNext/>
        <w:keepLines/>
        <w:widowControl w:val="0"/>
        <w:spacing w:before="260" w:after="26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85" w:name="_Toc42592582"/>
      <w:bookmarkStart w:id="86" w:name="_Toc513189385"/>
      <w:bookmarkStart w:id="87" w:name="_Toc6503"/>
      <w:r>
        <w:rPr>
          <w:rFonts w:hint="default" w:ascii="Times New Roman" w:hAnsi="Times New Roman" w:eastAsia="宋体" w:cs="Times New Roman"/>
          <w:b/>
          <w:bCs/>
          <w:color w:val="auto"/>
          <w:kern w:val="2"/>
          <w:sz w:val="30"/>
          <w:szCs w:val="32"/>
          <w:lang w:val="en-US" w:eastAsia="zh-CN" w:bidi="ar-SA"/>
        </w:rPr>
        <w:t>4.1</w:t>
      </w:r>
      <w:bookmarkEnd w:id="85"/>
      <w:bookmarkEnd w:id="86"/>
      <w:r>
        <w:rPr>
          <w:rFonts w:hint="default" w:ascii="Times New Roman" w:hAnsi="Times New Roman" w:eastAsia="宋体" w:cs="Times New Roman"/>
          <w:b/>
          <w:bCs/>
          <w:color w:val="auto"/>
          <w:kern w:val="2"/>
          <w:sz w:val="30"/>
          <w:szCs w:val="32"/>
          <w:lang w:val="en-US" w:eastAsia="zh-CN" w:bidi="ar-SA"/>
        </w:rPr>
        <w:t>饮用水水源保护区的监督</w:t>
      </w:r>
      <w:bookmarkEnd w:id="87"/>
    </w:p>
    <w:p w14:paraId="1F1830AB">
      <w:pPr>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针对</w:t>
      </w:r>
      <w:r>
        <w:rPr>
          <w:rFonts w:hint="eastAsia" w:ascii="Times New Roman" w:hAnsi="Times New Roman" w:cs="Times New Roman"/>
          <w:color w:val="auto"/>
          <w:sz w:val="28"/>
          <w:szCs w:val="28"/>
          <w:lang w:eastAsia="zh-CN"/>
        </w:rPr>
        <w:t>西安市灞桥区狄寨街办狄寨村饮用水水源地</w:t>
      </w:r>
      <w:r>
        <w:rPr>
          <w:rFonts w:hint="default" w:ascii="Times New Roman" w:hAnsi="Times New Roman" w:eastAsia="宋体" w:cs="Times New Roman"/>
          <w:color w:val="auto"/>
          <w:sz w:val="28"/>
          <w:szCs w:val="28"/>
        </w:rPr>
        <w:t>周围的环境现状，饮用水水源保护区应设以下监督措施。</w:t>
      </w:r>
    </w:p>
    <w:p w14:paraId="5F6A37FC">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bookmarkStart w:id="88" w:name="_Toc42592583"/>
      <w:bookmarkStart w:id="89" w:name="_Toc513189386"/>
      <w:r>
        <w:rPr>
          <w:rFonts w:hint="default" w:ascii="Times New Roman" w:hAnsi="Times New Roman" w:eastAsia="宋体" w:cs="Times New Roman"/>
          <w:b/>
          <w:bCs/>
          <w:color w:val="auto"/>
          <w:kern w:val="2"/>
          <w:sz w:val="28"/>
          <w:szCs w:val="28"/>
          <w:lang w:val="en-US" w:eastAsia="zh-CN" w:bidi="ar-SA"/>
        </w:rPr>
        <w:t>4.1.1</w:t>
      </w:r>
      <w:bookmarkEnd w:id="88"/>
      <w:bookmarkEnd w:id="89"/>
      <w:r>
        <w:rPr>
          <w:rFonts w:hint="default" w:ascii="Times New Roman" w:hAnsi="Times New Roman" w:cs="Times New Roman"/>
          <w:b/>
          <w:bCs/>
          <w:color w:val="auto"/>
          <w:kern w:val="2"/>
          <w:sz w:val="28"/>
          <w:szCs w:val="28"/>
          <w:lang w:val="en-US" w:eastAsia="zh-CN" w:bidi="ar-SA"/>
        </w:rPr>
        <w:t>明确责任，提高管理效能</w:t>
      </w:r>
    </w:p>
    <w:p w14:paraId="024F5E44">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cs="Times New Roman"/>
          <w:color w:val="auto"/>
          <w:sz w:val="28"/>
          <w:szCs w:val="28"/>
          <w:lang w:val="en-US"/>
        </w:rPr>
      </w:pPr>
      <w:r>
        <w:rPr>
          <w:rFonts w:hint="default" w:ascii="Times New Roman" w:hAnsi="Times New Roman" w:eastAsia="宋体" w:cs="Times New Roman"/>
          <w:color w:val="auto"/>
          <w:kern w:val="2"/>
          <w:sz w:val="28"/>
          <w:szCs w:val="28"/>
          <w:lang w:val="en-US" w:eastAsia="zh-CN" w:bidi="ar"/>
        </w:rPr>
        <w:t>根据饮用水源地保护现状，建议成立统一的管理机构，组织协调</w:t>
      </w:r>
      <w:r>
        <w:rPr>
          <w:rFonts w:ascii="Times New Roman" w:hAnsi="Times New Roman"/>
          <w:color w:val="auto"/>
          <w:sz w:val="28"/>
          <w:szCs w:val="28"/>
        </w:rPr>
        <w:t>发改局</w:t>
      </w:r>
      <w:r>
        <w:rPr>
          <w:rFonts w:hint="eastAsia" w:ascii="Times New Roman" w:hAnsi="Times New Roman"/>
          <w:color w:val="auto"/>
          <w:sz w:val="28"/>
          <w:szCs w:val="28"/>
        </w:rPr>
        <w:t>、</w:t>
      </w:r>
      <w:r>
        <w:rPr>
          <w:rFonts w:ascii="Times New Roman" w:hAnsi="Times New Roman"/>
          <w:color w:val="auto"/>
          <w:sz w:val="28"/>
          <w:szCs w:val="28"/>
        </w:rPr>
        <w:t>农林局、生态环境局、水利局、自然资源局、公安局、</w:t>
      </w:r>
      <w:r>
        <w:rPr>
          <w:rFonts w:hint="eastAsia" w:ascii="Times New Roman" w:hAnsi="Times New Roman"/>
          <w:color w:val="auto"/>
          <w:sz w:val="28"/>
          <w:szCs w:val="28"/>
        </w:rPr>
        <w:t>市场监管</w:t>
      </w:r>
      <w:r>
        <w:rPr>
          <w:rFonts w:ascii="Times New Roman" w:hAnsi="Times New Roman"/>
          <w:color w:val="auto"/>
          <w:sz w:val="28"/>
          <w:szCs w:val="28"/>
        </w:rPr>
        <w:t>局、卫健局、交通局、住建局</w:t>
      </w:r>
      <w:r>
        <w:rPr>
          <w:rFonts w:hint="default" w:ascii="Times New Roman" w:hAnsi="Times New Roman" w:eastAsia="宋体" w:cs="Times New Roman"/>
          <w:color w:val="auto"/>
          <w:kern w:val="2"/>
          <w:sz w:val="28"/>
          <w:szCs w:val="28"/>
          <w:lang w:val="en-US" w:eastAsia="zh-CN" w:bidi="ar"/>
        </w:rPr>
        <w:t>等相关部门开展水源地保护工作。各部门应结合自身职能，加强饮用水水源保护区污染防治监督管理、水质监测及保护区周边环境整治等工作，确保饮用水源保护区的各项管理规定落实到实处和水量、水质满足需要。各部门职责见表</w:t>
      </w:r>
      <w:r>
        <w:rPr>
          <w:rFonts w:hint="default" w:ascii="Times New Roman" w:hAnsi="Times New Roman" w:cs="Times New Roman"/>
          <w:color w:val="auto"/>
          <w:kern w:val="2"/>
          <w:sz w:val="28"/>
          <w:szCs w:val="28"/>
          <w:lang w:val="en-US" w:eastAsia="zh-CN" w:bidi="ar"/>
        </w:rPr>
        <w:t>4.1</w:t>
      </w:r>
      <w:r>
        <w:rPr>
          <w:rFonts w:hint="default" w:ascii="Times New Roman" w:hAnsi="Times New Roman" w:eastAsia="宋体" w:cs="Times New Roman"/>
          <w:color w:val="auto"/>
          <w:kern w:val="2"/>
          <w:sz w:val="28"/>
          <w:szCs w:val="28"/>
          <w:lang w:val="en-US" w:eastAsia="zh-CN" w:bidi="ar"/>
        </w:rPr>
        <w:t>-</w:t>
      </w:r>
      <w:r>
        <w:rPr>
          <w:rFonts w:hint="default" w:ascii="Times New Roman" w:hAnsi="Times New Roman" w:cs="Times New Roman"/>
          <w:color w:val="auto"/>
          <w:kern w:val="2"/>
          <w:sz w:val="28"/>
          <w:szCs w:val="28"/>
          <w:lang w:val="en-US" w:eastAsia="zh-CN" w:bidi="ar"/>
        </w:rPr>
        <w:t>1</w:t>
      </w:r>
      <w:r>
        <w:rPr>
          <w:rFonts w:hint="default" w:ascii="Times New Roman" w:hAnsi="Times New Roman" w:eastAsia="宋体" w:cs="Times New Roman"/>
          <w:color w:val="auto"/>
          <w:kern w:val="2"/>
          <w:sz w:val="28"/>
          <w:szCs w:val="28"/>
          <w:lang w:val="en-US" w:eastAsia="zh-CN" w:bidi="ar"/>
        </w:rPr>
        <w:t>：</w:t>
      </w:r>
    </w:p>
    <w:p w14:paraId="6C37547B">
      <w:pPr>
        <w:keepNext w:val="0"/>
        <w:keepLines w:val="0"/>
        <w:widowControl w:val="0"/>
        <w:suppressLineNumbers w:val="0"/>
        <w:spacing w:before="0" w:beforeAutospacing="0" w:after="0" w:afterAutospacing="0" w:line="360" w:lineRule="auto"/>
        <w:ind w:right="0"/>
        <w:jc w:val="center"/>
        <w:rPr>
          <w:rFonts w:hint="default" w:ascii="Times New Roman" w:hAnsi="Times New Roman" w:eastAsia="宋体" w:cs="Times New Roman"/>
          <w:b/>
          <w:bCs w:val="0"/>
          <w:color w:val="auto"/>
          <w:kern w:val="2"/>
          <w:sz w:val="28"/>
          <w:szCs w:val="28"/>
          <w:lang w:val="en-US" w:eastAsia="zh-CN" w:bidi="ar"/>
        </w:rPr>
      </w:pPr>
      <w:r>
        <w:rPr>
          <w:rFonts w:hint="default" w:ascii="Times New Roman" w:hAnsi="Times New Roman" w:eastAsia="宋体" w:cs="Times New Roman"/>
          <w:b/>
          <w:bCs w:val="0"/>
          <w:color w:val="auto"/>
          <w:kern w:val="2"/>
          <w:sz w:val="28"/>
          <w:szCs w:val="28"/>
          <w:lang w:val="en-US" w:eastAsia="zh-CN" w:bidi="ar"/>
        </w:rPr>
        <w:t>表</w:t>
      </w:r>
      <w:r>
        <w:rPr>
          <w:rFonts w:hint="default" w:ascii="Times New Roman" w:hAnsi="Times New Roman" w:cs="Times New Roman"/>
          <w:b/>
          <w:bCs w:val="0"/>
          <w:color w:val="auto"/>
          <w:kern w:val="2"/>
          <w:sz w:val="28"/>
          <w:szCs w:val="28"/>
          <w:lang w:val="en-US" w:eastAsia="zh-CN" w:bidi="ar"/>
        </w:rPr>
        <w:t>4.1</w:t>
      </w:r>
      <w:r>
        <w:rPr>
          <w:rFonts w:hint="default" w:ascii="Times New Roman" w:hAnsi="Times New Roman" w:eastAsia="宋体" w:cs="Times New Roman"/>
          <w:b/>
          <w:bCs w:val="0"/>
          <w:color w:val="auto"/>
          <w:kern w:val="2"/>
          <w:sz w:val="28"/>
          <w:szCs w:val="28"/>
          <w:lang w:val="en-US" w:eastAsia="zh-CN" w:bidi="ar"/>
        </w:rPr>
        <w:t>-</w:t>
      </w:r>
      <w:r>
        <w:rPr>
          <w:rFonts w:hint="default" w:ascii="Times New Roman" w:hAnsi="Times New Roman" w:cs="Times New Roman"/>
          <w:b/>
          <w:bCs w:val="0"/>
          <w:color w:val="auto"/>
          <w:kern w:val="2"/>
          <w:sz w:val="28"/>
          <w:szCs w:val="28"/>
          <w:lang w:val="en-US" w:eastAsia="zh-CN" w:bidi="ar"/>
        </w:rPr>
        <w:t>1</w:t>
      </w:r>
      <w:r>
        <w:rPr>
          <w:rFonts w:hint="default" w:ascii="Times New Roman" w:hAnsi="Times New Roman" w:eastAsia="宋体" w:cs="Times New Roman"/>
          <w:b/>
          <w:bCs w:val="0"/>
          <w:color w:val="auto"/>
          <w:kern w:val="2"/>
          <w:sz w:val="28"/>
          <w:szCs w:val="28"/>
          <w:lang w:val="en-US" w:eastAsia="zh-CN" w:bidi="ar"/>
        </w:rPr>
        <w:t xml:space="preserve"> 饮用水源地保护部门主要职责表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221"/>
        <w:gridCol w:w="5656"/>
        <w:gridCol w:w="708"/>
      </w:tblGrid>
      <w:tr w14:paraId="46218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blHeader/>
        </w:trPr>
        <w:tc>
          <w:tcPr>
            <w:tcW w:w="545" w:type="pct"/>
            <w:tcBorders>
              <w:tl2br w:val="nil"/>
              <w:tr2bl w:val="nil"/>
            </w:tcBorders>
            <w:shd w:val="clear" w:color="auto" w:fill="auto"/>
            <w:vAlign w:val="center"/>
          </w:tcPr>
          <w:p w14:paraId="4FC14BF6">
            <w:pPr>
              <w:keepNext w:val="0"/>
              <w:keepLines w:val="0"/>
              <w:suppressLineNumbers w:val="0"/>
              <w:spacing w:before="0" w:beforeAutospacing="0" w:after="0" w:afterAutospacing="0" w:line="360" w:lineRule="exact"/>
              <w:ind w:left="0" w:right="0"/>
              <w:jc w:val="center"/>
              <w:rPr>
                <w:rFonts w:hint="default" w:ascii="Times New Roman" w:hAnsi="Times New Roman"/>
                <w:b/>
                <w:color w:val="auto"/>
                <w:szCs w:val="21"/>
              </w:rPr>
            </w:pPr>
            <w:bookmarkStart w:id="90" w:name="_Toc513189387"/>
            <w:bookmarkStart w:id="91" w:name="_Toc42592584"/>
            <w:r>
              <w:rPr>
                <w:rFonts w:hint="default" w:ascii="Times New Roman" w:hAnsi="Times New Roman"/>
                <w:b/>
                <w:color w:val="auto"/>
                <w:szCs w:val="21"/>
              </w:rPr>
              <w:t>序号</w:t>
            </w:r>
          </w:p>
        </w:tc>
        <w:tc>
          <w:tcPr>
            <w:tcW w:w="717" w:type="pct"/>
            <w:tcBorders>
              <w:tl2br w:val="nil"/>
              <w:tr2bl w:val="nil"/>
            </w:tcBorders>
            <w:shd w:val="clear" w:color="auto" w:fill="auto"/>
            <w:vAlign w:val="center"/>
          </w:tcPr>
          <w:p w14:paraId="1353615F">
            <w:pPr>
              <w:keepNext w:val="0"/>
              <w:keepLines w:val="0"/>
              <w:suppressLineNumbers w:val="0"/>
              <w:spacing w:before="0" w:beforeAutospacing="0" w:after="0" w:afterAutospacing="0" w:line="360" w:lineRule="exact"/>
              <w:ind w:left="0" w:right="0"/>
              <w:jc w:val="center"/>
              <w:rPr>
                <w:rFonts w:hint="default" w:ascii="Times New Roman" w:hAnsi="Times New Roman"/>
                <w:b/>
                <w:color w:val="auto"/>
                <w:szCs w:val="21"/>
              </w:rPr>
            </w:pPr>
            <w:r>
              <w:rPr>
                <w:rFonts w:hint="default" w:ascii="Times New Roman" w:hAnsi="Times New Roman"/>
                <w:b/>
                <w:color w:val="auto"/>
                <w:szCs w:val="21"/>
              </w:rPr>
              <w:t>部  门</w:t>
            </w:r>
          </w:p>
        </w:tc>
        <w:tc>
          <w:tcPr>
            <w:tcW w:w="3321" w:type="pct"/>
            <w:tcBorders>
              <w:tl2br w:val="nil"/>
              <w:tr2bl w:val="nil"/>
            </w:tcBorders>
            <w:shd w:val="clear" w:color="auto" w:fill="auto"/>
            <w:vAlign w:val="center"/>
          </w:tcPr>
          <w:p w14:paraId="306FF5BF">
            <w:pPr>
              <w:keepNext w:val="0"/>
              <w:keepLines w:val="0"/>
              <w:suppressLineNumbers w:val="0"/>
              <w:spacing w:before="0" w:beforeAutospacing="0" w:after="0" w:afterAutospacing="0" w:line="360" w:lineRule="exact"/>
              <w:ind w:left="0" w:right="0"/>
              <w:jc w:val="center"/>
              <w:rPr>
                <w:rFonts w:hint="default" w:ascii="Times New Roman" w:hAnsi="Times New Roman"/>
                <w:b/>
                <w:color w:val="auto"/>
                <w:szCs w:val="21"/>
              </w:rPr>
            </w:pPr>
            <w:r>
              <w:rPr>
                <w:rFonts w:hint="default" w:ascii="Times New Roman" w:hAnsi="Times New Roman"/>
                <w:b/>
                <w:color w:val="auto"/>
                <w:szCs w:val="21"/>
              </w:rPr>
              <w:t>主 要 职 责</w:t>
            </w:r>
          </w:p>
        </w:tc>
        <w:tc>
          <w:tcPr>
            <w:tcW w:w="415" w:type="pct"/>
            <w:tcBorders>
              <w:tl2br w:val="nil"/>
              <w:tr2bl w:val="nil"/>
            </w:tcBorders>
            <w:shd w:val="clear" w:color="auto" w:fill="auto"/>
            <w:vAlign w:val="center"/>
          </w:tcPr>
          <w:p w14:paraId="62967B17">
            <w:pPr>
              <w:keepNext w:val="0"/>
              <w:keepLines w:val="0"/>
              <w:suppressLineNumbers w:val="0"/>
              <w:spacing w:before="0" w:beforeAutospacing="0" w:after="0" w:afterAutospacing="0" w:line="360" w:lineRule="exact"/>
              <w:ind w:left="0" w:right="0"/>
              <w:jc w:val="center"/>
              <w:rPr>
                <w:rFonts w:hint="default" w:ascii="Times New Roman" w:hAnsi="Times New Roman"/>
                <w:b/>
                <w:color w:val="auto"/>
                <w:szCs w:val="21"/>
              </w:rPr>
            </w:pPr>
            <w:r>
              <w:rPr>
                <w:rFonts w:hint="default" w:ascii="Times New Roman" w:hAnsi="Times New Roman"/>
                <w:b/>
                <w:color w:val="auto"/>
                <w:szCs w:val="21"/>
              </w:rPr>
              <w:t>备注</w:t>
            </w:r>
          </w:p>
        </w:tc>
      </w:tr>
      <w:tr w14:paraId="0E835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45" w:type="pct"/>
            <w:tcBorders>
              <w:tl2br w:val="nil"/>
              <w:tr2bl w:val="nil"/>
            </w:tcBorders>
            <w:shd w:val="clear" w:color="auto" w:fill="auto"/>
            <w:vAlign w:val="center"/>
          </w:tcPr>
          <w:p w14:paraId="403D0FD4">
            <w:pPr>
              <w:keepNext w:val="0"/>
              <w:keepLines w:val="0"/>
              <w:suppressLineNumbers w:val="0"/>
              <w:spacing w:before="0" w:beforeAutospacing="0" w:after="0" w:afterAutospacing="0" w:line="360" w:lineRule="exact"/>
              <w:ind w:left="0" w:right="0"/>
              <w:jc w:val="center"/>
              <w:rPr>
                <w:rFonts w:hint="default" w:ascii="Times New Roman" w:hAnsi="Times New Roman"/>
                <w:color w:val="auto"/>
                <w:szCs w:val="21"/>
              </w:rPr>
            </w:pPr>
            <w:r>
              <w:rPr>
                <w:rFonts w:hint="default" w:ascii="Times New Roman" w:hAnsi="Times New Roman"/>
                <w:color w:val="auto"/>
                <w:szCs w:val="21"/>
              </w:rPr>
              <w:t>1</w:t>
            </w:r>
          </w:p>
        </w:tc>
        <w:tc>
          <w:tcPr>
            <w:tcW w:w="717" w:type="pct"/>
            <w:tcBorders>
              <w:tl2br w:val="nil"/>
              <w:tr2bl w:val="nil"/>
            </w:tcBorders>
            <w:shd w:val="clear" w:color="auto" w:fill="auto"/>
            <w:vAlign w:val="center"/>
          </w:tcPr>
          <w:p w14:paraId="1C633C30">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生态环境部门</w:t>
            </w:r>
          </w:p>
        </w:tc>
        <w:tc>
          <w:tcPr>
            <w:tcW w:w="3321" w:type="pct"/>
            <w:tcBorders>
              <w:tl2br w:val="nil"/>
              <w:tr2bl w:val="nil"/>
            </w:tcBorders>
            <w:shd w:val="clear" w:color="auto" w:fill="auto"/>
            <w:vAlign w:val="center"/>
          </w:tcPr>
          <w:p w14:paraId="4B566E54">
            <w:pPr>
              <w:keepNext w:val="0"/>
              <w:keepLines w:val="0"/>
              <w:widowControl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督促</w:t>
            </w:r>
            <w:r>
              <w:rPr>
                <w:rFonts w:hint="eastAsia" w:ascii="Times New Roman" w:hAnsi="Times New Roman" w:cs="宋体"/>
                <w:color w:val="auto"/>
                <w:kern w:val="2"/>
                <w:sz w:val="21"/>
                <w:szCs w:val="21"/>
                <w:lang w:val="en-US" w:eastAsia="zh-CN" w:bidi="ar"/>
              </w:rPr>
              <w:t>运营管理</w:t>
            </w:r>
            <w:r>
              <w:rPr>
                <w:rFonts w:hint="eastAsia" w:ascii="Times New Roman" w:hAnsi="Times New Roman" w:eastAsia="宋体" w:cs="宋体"/>
                <w:color w:val="auto"/>
                <w:kern w:val="2"/>
                <w:sz w:val="21"/>
                <w:szCs w:val="21"/>
                <w:lang w:val="en-US" w:eastAsia="zh-CN" w:bidi="ar"/>
              </w:rPr>
              <w:t>等相关部门在水源地</w:t>
            </w:r>
            <w:r>
              <w:rPr>
                <w:rFonts w:hint="eastAsia" w:ascii="Times New Roman" w:hAnsi="Times New Roman" w:cs="宋体"/>
                <w:color w:val="auto"/>
                <w:kern w:val="2"/>
                <w:sz w:val="21"/>
                <w:szCs w:val="21"/>
                <w:lang w:val="en-US" w:eastAsia="zh-CN" w:bidi="ar"/>
              </w:rPr>
              <w:t>准保护区范围内</w:t>
            </w:r>
            <w:r>
              <w:rPr>
                <w:rFonts w:hint="eastAsia" w:ascii="Times New Roman" w:hAnsi="Times New Roman" w:eastAsia="宋体" w:cs="宋体"/>
                <w:color w:val="auto"/>
                <w:kern w:val="2"/>
                <w:sz w:val="21"/>
                <w:szCs w:val="21"/>
                <w:lang w:val="en-US" w:eastAsia="zh-CN" w:bidi="ar"/>
              </w:rPr>
              <w:t>设置监测井，并由具有水质监测资质的单位，负责对其实施监控水源地水质</w:t>
            </w:r>
            <w:r>
              <w:rPr>
                <w:rFonts w:hint="eastAsia" w:ascii="Times New Roman" w:hAnsi="Times New Roman" w:cs="宋体"/>
                <w:color w:val="auto"/>
                <w:kern w:val="2"/>
                <w:sz w:val="21"/>
                <w:szCs w:val="21"/>
                <w:lang w:val="en-US" w:eastAsia="zh-CN" w:bidi="ar"/>
              </w:rPr>
              <w:t>、水量</w:t>
            </w:r>
            <w:r>
              <w:rPr>
                <w:rFonts w:hint="eastAsia" w:ascii="Times New Roman" w:hAnsi="Times New Roman" w:eastAsia="宋体" w:cs="宋体"/>
                <w:color w:val="auto"/>
                <w:kern w:val="2"/>
                <w:sz w:val="21"/>
                <w:szCs w:val="21"/>
                <w:lang w:val="en-US" w:eastAsia="zh-CN" w:bidi="ar"/>
              </w:rPr>
              <w:t>变化；</w:t>
            </w:r>
            <w:r>
              <w:rPr>
                <w:rFonts w:hint="eastAsia" w:ascii="Times New Roman" w:hAnsi="Times New Roman" w:cs="宋体"/>
                <w:color w:val="auto"/>
                <w:kern w:val="2"/>
                <w:sz w:val="21"/>
                <w:szCs w:val="21"/>
                <w:lang w:val="en-US" w:eastAsia="zh-CN" w:bidi="ar"/>
              </w:rPr>
              <w:t>定期委托第三方资质结构为水源地水质进行监督性监测</w:t>
            </w:r>
            <w:r>
              <w:rPr>
                <w:rFonts w:hint="eastAsia" w:ascii="Times New Roman" w:hAnsi="Times New Roman" w:eastAsia="宋体" w:cs="宋体"/>
                <w:color w:val="auto"/>
                <w:kern w:val="2"/>
                <w:sz w:val="21"/>
                <w:szCs w:val="21"/>
                <w:lang w:val="en-US" w:eastAsia="zh-CN" w:bidi="ar"/>
              </w:rPr>
              <w:t>；对涉及饮用水源保护区的环境违法行为进行处罚</w:t>
            </w:r>
            <w:r>
              <w:rPr>
                <w:rFonts w:hint="eastAsia" w:ascii="Times New Roman" w:hAnsi="Times New Roman" w:cs="宋体"/>
                <w:color w:val="auto"/>
                <w:kern w:val="2"/>
                <w:sz w:val="21"/>
                <w:szCs w:val="21"/>
                <w:lang w:val="en-US" w:eastAsia="zh-CN" w:bidi="ar"/>
              </w:rPr>
              <w:t>；定期开展水源地周边环境隐患治理排查，对水源地保护区周边存在污染源应加强监管，确保废水治理设施的有效性和固废处置的合理性</w:t>
            </w:r>
            <w:r>
              <w:rPr>
                <w:rFonts w:hint="eastAsia" w:ascii="Times New Roman" w:hAnsi="Times New Roman" w:eastAsia="宋体" w:cs="宋体"/>
                <w:color w:val="auto"/>
                <w:kern w:val="2"/>
                <w:sz w:val="21"/>
                <w:szCs w:val="21"/>
                <w:lang w:val="en-US" w:eastAsia="zh-CN" w:bidi="ar"/>
              </w:rPr>
              <w:t>。</w:t>
            </w:r>
          </w:p>
        </w:tc>
        <w:tc>
          <w:tcPr>
            <w:tcW w:w="415" w:type="pct"/>
            <w:tcBorders>
              <w:tl2br w:val="nil"/>
              <w:tr2bl w:val="nil"/>
            </w:tcBorders>
            <w:shd w:val="clear" w:color="auto" w:fill="auto"/>
            <w:vAlign w:val="center"/>
          </w:tcPr>
          <w:p w14:paraId="4376B0D6">
            <w:pPr>
              <w:keepNext w:val="0"/>
              <w:keepLines w:val="0"/>
              <w:suppressLineNumbers w:val="0"/>
              <w:spacing w:before="0" w:beforeAutospacing="0" w:after="0" w:afterAutospacing="0" w:line="360" w:lineRule="exact"/>
              <w:ind w:left="0" w:right="0"/>
              <w:rPr>
                <w:rFonts w:hint="default" w:ascii="Times New Roman" w:hAnsi="Times New Roman" w:eastAsia="Times New Roman"/>
                <w:color w:val="auto"/>
                <w:szCs w:val="21"/>
              </w:rPr>
            </w:pPr>
          </w:p>
        </w:tc>
      </w:tr>
      <w:tr w14:paraId="696F8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45" w:type="pct"/>
            <w:tcBorders>
              <w:tl2br w:val="nil"/>
              <w:tr2bl w:val="nil"/>
            </w:tcBorders>
            <w:shd w:val="clear" w:color="auto" w:fill="auto"/>
            <w:vAlign w:val="center"/>
          </w:tcPr>
          <w:p w14:paraId="6819EBEF">
            <w:pPr>
              <w:keepNext w:val="0"/>
              <w:keepLines w:val="0"/>
              <w:suppressLineNumbers w:val="0"/>
              <w:spacing w:before="0" w:beforeAutospacing="0" w:after="0" w:afterAutospacing="0" w:line="360" w:lineRule="exact"/>
              <w:ind w:left="0" w:right="0"/>
              <w:jc w:val="center"/>
              <w:rPr>
                <w:rFonts w:hint="default" w:ascii="Times New Roman" w:hAnsi="Times New Roman"/>
                <w:color w:val="auto"/>
                <w:szCs w:val="21"/>
              </w:rPr>
            </w:pPr>
            <w:r>
              <w:rPr>
                <w:rFonts w:hint="default" w:ascii="Times New Roman" w:hAnsi="Times New Roman"/>
                <w:color w:val="auto"/>
                <w:szCs w:val="21"/>
              </w:rPr>
              <w:t>2</w:t>
            </w:r>
          </w:p>
        </w:tc>
        <w:tc>
          <w:tcPr>
            <w:tcW w:w="717" w:type="pct"/>
            <w:tcBorders>
              <w:tl2br w:val="nil"/>
              <w:tr2bl w:val="nil"/>
            </w:tcBorders>
            <w:shd w:val="clear" w:color="auto" w:fill="auto"/>
            <w:vAlign w:val="center"/>
          </w:tcPr>
          <w:p w14:paraId="2B10F887">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住建部门</w:t>
            </w:r>
          </w:p>
        </w:tc>
        <w:tc>
          <w:tcPr>
            <w:tcW w:w="3321" w:type="pct"/>
            <w:tcBorders>
              <w:tl2br w:val="nil"/>
              <w:tr2bl w:val="nil"/>
            </w:tcBorders>
            <w:shd w:val="clear" w:color="auto" w:fill="auto"/>
            <w:vAlign w:val="center"/>
          </w:tcPr>
          <w:p w14:paraId="552E0E7D">
            <w:pPr>
              <w:keepNext w:val="0"/>
              <w:keepLines w:val="0"/>
              <w:widowControl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将饮用水源保护区纳入城市规划的内容严格管理，严禁在饮用水源保护区内建设与供水设施无关的项目。</w:t>
            </w:r>
          </w:p>
        </w:tc>
        <w:tc>
          <w:tcPr>
            <w:tcW w:w="415" w:type="pct"/>
            <w:tcBorders>
              <w:tl2br w:val="nil"/>
              <w:tr2bl w:val="nil"/>
            </w:tcBorders>
            <w:shd w:val="clear" w:color="auto" w:fill="auto"/>
            <w:vAlign w:val="center"/>
          </w:tcPr>
          <w:p w14:paraId="566BE55C">
            <w:pPr>
              <w:keepNext w:val="0"/>
              <w:keepLines w:val="0"/>
              <w:suppressLineNumbers w:val="0"/>
              <w:spacing w:before="0" w:beforeAutospacing="0" w:after="0" w:afterAutospacing="0" w:line="360" w:lineRule="exact"/>
              <w:ind w:left="0" w:right="0"/>
              <w:rPr>
                <w:rFonts w:hint="default" w:ascii="Times New Roman" w:hAnsi="Times New Roman" w:eastAsia="Times New Roman"/>
                <w:color w:val="auto"/>
                <w:szCs w:val="21"/>
              </w:rPr>
            </w:pPr>
          </w:p>
        </w:tc>
      </w:tr>
      <w:tr w14:paraId="3ECA6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45" w:type="pct"/>
            <w:tcBorders>
              <w:tl2br w:val="nil"/>
              <w:tr2bl w:val="nil"/>
            </w:tcBorders>
            <w:shd w:val="clear" w:color="auto" w:fill="auto"/>
            <w:vAlign w:val="center"/>
          </w:tcPr>
          <w:p w14:paraId="7B66BB57">
            <w:pPr>
              <w:keepNext w:val="0"/>
              <w:keepLines w:val="0"/>
              <w:suppressLineNumbers w:val="0"/>
              <w:spacing w:before="0" w:beforeAutospacing="0" w:after="0" w:afterAutospacing="0" w:line="360" w:lineRule="exact"/>
              <w:ind w:left="0" w:right="0"/>
              <w:jc w:val="center"/>
              <w:rPr>
                <w:rFonts w:hint="default" w:ascii="Times New Roman" w:hAnsi="Times New Roman"/>
                <w:color w:val="auto"/>
                <w:szCs w:val="21"/>
              </w:rPr>
            </w:pPr>
            <w:r>
              <w:rPr>
                <w:rFonts w:hint="default" w:ascii="Times New Roman" w:hAnsi="Times New Roman"/>
                <w:color w:val="auto"/>
                <w:szCs w:val="21"/>
              </w:rPr>
              <w:t>3</w:t>
            </w:r>
          </w:p>
        </w:tc>
        <w:tc>
          <w:tcPr>
            <w:tcW w:w="717" w:type="pct"/>
            <w:tcBorders>
              <w:tl2br w:val="nil"/>
              <w:tr2bl w:val="nil"/>
            </w:tcBorders>
            <w:shd w:val="clear" w:color="auto" w:fill="auto"/>
            <w:vAlign w:val="center"/>
          </w:tcPr>
          <w:p w14:paraId="109F1D4E">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cs="宋体"/>
                <w:color w:val="auto"/>
                <w:kern w:val="2"/>
                <w:sz w:val="21"/>
                <w:szCs w:val="21"/>
                <w:lang w:val="en-US" w:eastAsia="zh-CN" w:bidi="ar"/>
              </w:rPr>
              <w:t>发改委</w:t>
            </w:r>
          </w:p>
        </w:tc>
        <w:tc>
          <w:tcPr>
            <w:tcW w:w="3321" w:type="pct"/>
            <w:tcBorders>
              <w:tl2br w:val="nil"/>
              <w:tr2bl w:val="nil"/>
            </w:tcBorders>
            <w:shd w:val="clear" w:color="auto" w:fill="auto"/>
            <w:vAlign w:val="center"/>
          </w:tcPr>
          <w:p w14:paraId="4F24F0A3">
            <w:pPr>
              <w:keepNext w:val="0"/>
              <w:keepLines w:val="0"/>
              <w:widowControl w:val="0"/>
              <w:suppressLineNumbers w:val="0"/>
              <w:spacing w:before="0" w:beforeAutospacing="0" w:after="0" w:afterAutospacing="0" w:line="360" w:lineRule="exact"/>
              <w:ind w:left="0" w:leftChars="0" w:right="0" w:rightChars="0"/>
              <w:jc w:val="both"/>
              <w:rPr>
                <w:rFonts w:hint="default" w:ascii="Times New Roman" w:hAnsi="Times New Roman" w:eastAsia="宋体" w:cs="宋体"/>
                <w:color w:val="auto"/>
                <w:kern w:val="2"/>
                <w:sz w:val="21"/>
                <w:szCs w:val="21"/>
                <w:lang w:val="en-US" w:eastAsia="zh-CN" w:bidi="ar"/>
              </w:rPr>
            </w:pPr>
            <w:r>
              <w:rPr>
                <w:rFonts w:hint="eastAsia" w:ascii="Times New Roman" w:hAnsi="Times New Roman" w:cs="宋体"/>
                <w:color w:val="auto"/>
                <w:kern w:val="2"/>
                <w:sz w:val="21"/>
                <w:szCs w:val="21"/>
                <w:lang w:val="en-US" w:eastAsia="zh-CN" w:bidi="ar"/>
              </w:rPr>
              <w:t>严格把控地下水保护区范围内项目备案，对于保护区范围内不符合地下水环保要求或与供水工程无关项目一律不予备案。</w:t>
            </w:r>
          </w:p>
        </w:tc>
        <w:tc>
          <w:tcPr>
            <w:tcW w:w="415" w:type="pct"/>
            <w:tcBorders>
              <w:tl2br w:val="nil"/>
              <w:tr2bl w:val="nil"/>
            </w:tcBorders>
            <w:shd w:val="clear" w:color="auto" w:fill="auto"/>
            <w:vAlign w:val="center"/>
          </w:tcPr>
          <w:p w14:paraId="6C5C263A">
            <w:pPr>
              <w:keepNext w:val="0"/>
              <w:keepLines w:val="0"/>
              <w:suppressLineNumbers w:val="0"/>
              <w:spacing w:before="0" w:beforeAutospacing="0" w:after="0" w:afterAutospacing="0" w:line="360" w:lineRule="exact"/>
              <w:ind w:left="0" w:right="0"/>
              <w:rPr>
                <w:rFonts w:hint="default" w:ascii="Times New Roman" w:hAnsi="Times New Roman" w:eastAsia="Times New Roman"/>
                <w:color w:val="auto"/>
                <w:szCs w:val="21"/>
              </w:rPr>
            </w:pPr>
          </w:p>
        </w:tc>
      </w:tr>
      <w:tr w14:paraId="6EB91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45" w:type="pct"/>
            <w:tcBorders>
              <w:tl2br w:val="nil"/>
              <w:tr2bl w:val="nil"/>
            </w:tcBorders>
            <w:shd w:val="clear" w:color="auto" w:fill="auto"/>
            <w:vAlign w:val="center"/>
          </w:tcPr>
          <w:p w14:paraId="45A8104E">
            <w:pPr>
              <w:keepNext w:val="0"/>
              <w:keepLines w:val="0"/>
              <w:suppressLineNumbers w:val="0"/>
              <w:spacing w:before="0" w:beforeAutospacing="0" w:after="0" w:afterAutospacing="0" w:line="360" w:lineRule="exact"/>
              <w:ind w:left="0" w:right="0"/>
              <w:jc w:val="center"/>
              <w:rPr>
                <w:rFonts w:hint="default" w:ascii="Times New Roman" w:hAnsi="Times New Roman"/>
                <w:color w:val="auto"/>
                <w:szCs w:val="21"/>
              </w:rPr>
            </w:pPr>
            <w:r>
              <w:rPr>
                <w:rFonts w:hint="default" w:ascii="Times New Roman" w:hAnsi="Times New Roman"/>
                <w:color w:val="auto"/>
                <w:szCs w:val="21"/>
              </w:rPr>
              <w:t>4</w:t>
            </w:r>
          </w:p>
        </w:tc>
        <w:tc>
          <w:tcPr>
            <w:tcW w:w="717" w:type="pct"/>
            <w:tcBorders>
              <w:tl2br w:val="nil"/>
              <w:tr2bl w:val="nil"/>
            </w:tcBorders>
            <w:shd w:val="clear" w:color="auto" w:fill="auto"/>
            <w:vAlign w:val="center"/>
          </w:tcPr>
          <w:p w14:paraId="384292C6">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水利部门</w:t>
            </w:r>
          </w:p>
        </w:tc>
        <w:tc>
          <w:tcPr>
            <w:tcW w:w="3321" w:type="pct"/>
            <w:tcBorders>
              <w:tl2br w:val="nil"/>
              <w:tr2bl w:val="nil"/>
            </w:tcBorders>
            <w:shd w:val="clear" w:color="auto" w:fill="auto"/>
            <w:vAlign w:val="center"/>
          </w:tcPr>
          <w:p w14:paraId="586F09F7">
            <w:pPr>
              <w:keepNext w:val="0"/>
              <w:keepLines w:val="0"/>
              <w:widowControl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负责饮用水供水规划，加强水资源的管理和保护</w:t>
            </w:r>
            <w:r>
              <w:rPr>
                <w:rFonts w:hint="eastAsia" w:ascii="Times New Roman" w:hAnsi="Times New Roman" w:cs="宋体"/>
                <w:color w:val="auto"/>
                <w:kern w:val="2"/>
                <w:sz w:val="21"/>
                <w:szCs w:val="21"/>
                <w:lang w:val="en-US" w:eastAsia="zh-CN" w:bidi="ar"/>
              </w:rPr>
              <w:t>，负责编制供水安全应急预案</w:t>
            </w:r>
            <w:r>
              <w:rPr>
                <w:rFonts w:hint="eastAsia" w:ascii="Times New Roman" w:hAnsi="Times New Roman" w:eastAsia="宋体" w:cs="宋体"/>
                <w:color w:val="auto"/>
                <w:kern w:val="2"/>
                <w:sz w:val="21"/>
                <w:szCs w:val="21"/>
                <w:lang w:val="en-US" w:eastAsia="zh-CN" w:bidi="ar"/>
              </w:rPr>
              <w:t>，</w:t>
            </w:r>
            <w:r>
              <w:rPr>
                <w:rFonts w:hint="eastAsia" w:ascii="Times New Roman" w:hAnsi="Times New Roman" w:cs="宋体"/>
                <w:color w:val="auto"/>
                <w:kern w:val="2"/>
                <w:sz w:val="21"/>
                <w:szCs w:val="21"/>
                <w:lang w:val="en-US" w:eastAsia="zh-CN" w:bidi="ar"/>
              </w:rPr>
              <w:t>督促定期对地下水水质开展外委监测和自行监测</w:t>
            </w:r>
            <w:r>
              <w:rPr>
                <w:rFonts w:hint="eastAsia" w:ascii="Times New Roman" w:hAnsi="Times New Roman" w:eastAsia="宋体" w:cs="宋体"/>
                <w:color w:val="auto"/>
                <w:kern w:val="2"/>
                <w:sz w:val="21"/>
                <w:szCs w:val="21"/>
                <w:lang w:val="en-US" w:eastAsia="zh-CN" w:bidi="ar"/>
              </w:rPr>
              <w:t>。</w:t>
            </w:r>
          </w:p>
        </w:tc>
        <w:tc>
          <w:tcPr>
            <w:tcW w:w="415" w:type="pct"/>
            <w:tcBorders>
              <w:tl2br w:val="nil"/>
              <w:tr2bl w:val="nil"/>
            </w:tcBorders>
            <w:shd w:val="clear" w:color="auto" w:fill="auto"/>
            <w:vAlign w:val="center"/>
          </w:tcPr>
          <w:p w14:paraId="4E40A55D">
            <w:pPr>
              <w:keepNext w:val="0"/>
              <w:keepLines w:val="0"/>
              <w:suppressLineNumbers w:val="0"/>
              <w:spacing w:before="0" w:beforeAutospacing="0" w:after="0" w:afterAutospacing="0" w:line="360" w:lineRule="exact"/>
              <w:ind w:left="0" w:right="0"/>
              <w:rPr>
                <w:rFonts w:hint="default" w:ascii="Times New Roman" w:hAnsi="Times New Roman" w:eastAsia="Times New Roman"/>
                <w:color w:val="auto"/>
                <w:szCs w:val="21"/>
              </w:rPr>
            </w:pPr>
          </w:p>
        </w:tc>
      </w:tr>
      <w:tr w14:paraId="403C9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45" w:type="pct"/>
            <w:tcBorders>
              <w:tl2br w:val="nil"/>
              <w:tr2bl w:val="nil"/>
            </w:tcBorders>
            <w:shd w:val="clear" w:color="auto" w:fill="auto"/>
            <w:vAlign w:val="center"/>
          </w:tcPr>
          <w:p w14:paraId="124201FA">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
              </w:rPr>
              <w:t>5</w:t>
            </w:r>
          </w:p>
        </w:tc>
        <w:tc>
          <w:tcPr>
            <w:tcW w:w="717" w:type="pct"/>
            <w:tcBorders>
              <w:tl2br w:val="nil"/>
              <w:tr2bl w:val="nil"/>
            </w:tcBorders>
            <w:shd w:val="clear" w:color="auto" w:fill="auto"/>
            <w:vAlign w:val="center"/>
          </w:tcPr>
          <w:p w14:paraId="6A089A94">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卫健部门</w:t>
            </w:r>
          </w:p>
        </w:tc>
        <w:tc>
          <w:tcPr>
            <w:tcW w:w="3321" w:type="pct"/>
            <w:tcBorders>
              <w:tl2br w:val="nil"/>
              <w:tr2bl w:val="nil"/>
            </w:tcBorders>
            <w:shd w:val="clear" w:color="auto" w:fill="auto"/>
            <w:vAlign w:val="center"/>
          </w:tcPr>
          <w:p w14:paraId="0A01FD6C">
            <w:pPr>
              <w:keepNext w:val="0"/>
              <w:keepLines w:val="0"/>
              <w:widowControl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负责保护区</w:t>
            </w:r>
            <w:r>
              <w:rPr>
                <w:rFonts w:hint="eastAsia" w:ascii="Times New Roman" w:hAnsi="Times New Roman" w:cs="宋体"/>
                <w:color w:val="auto"/>
                <w:kern w:val="2"/>
                <w:sz w:val="21"/>
                <w:szCs w:val="21"/>
                <w:lang w:val="en-US" w:eastAsia="zh-CN" w:bidi="ar"/>
              </w:rPr>
              <w:t>范围</w:t>
            </w:r>
            <w:r>
              <w:rPr>
                <w:rFonts w:hint="eastAsia" w:ascii="Times New Roman" w:hAnsi="Times New Roman" w:eastAsia="宋体" w:cs="宋体"/>
                <w:color w:val="auto"/>
                <w:kern w:val="2"/>
                <w:sz w:val="21"/>
                <w:szCs w:val="21"/>
                <w:lang w:val="en-US" w:eastAsia="zh-CN" w:bidi="ar"/>
              </w:rPr>
              <w:t>内饮用水源的卫生监督管理。</w:t>
            </w:r>
          </w:p>
        </w:tc>
        <w:tc>
          <w:tcPr>
            <w:tcW w:w="415" w:type="pct"/>
            <w:tcBorders>
              <w:tl2br w:val="nil"/>
              <w:tr2bl w:val="nil"/>
            </w:tcBorders>
            <w:shd w:val="clear" w:color="auto" w:fill="auto"/>
            <w:vAlign w:val="center"/>
          </w:tcPr>
          <w:p w14:paraId="5754E529">
            <w:pPr>
              <w:keepNext w:val="0"/>
              <w:keepLines w:val="0"/>
              <w:suppressLineNumbers w:val="0"/>
              <w:spacing w:before="0" w:beforeAutospacing="0" w:after="0" w:afterAutospacing="0" w:line="360" w:lineRule="exact"/>
              <w:ind w:left="0" w:right="0"/>
              <w:rPr>
                <w:rFonts w:hint="default" w:ascii="Times New Roman" w:hAnsi="Times New Roman" w:eastAsia="Times New Roman"/>
                <w:color w:val="auto"/>
                <w:szCs w:val="21"/>
              </w:rPr>
            </w:pPr>
          </w:p>
        </w:tc>
      </w:tr>
      <w:tr w14:paraId="4BCA8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45" w:type="pct"/>
            <w:tcBorders>
              <w:tl2br w:val="nil"/>
              <w:tr2bl w:val="nil"/>
            </w:tcBorders>
            <w:shd w:val="clear" w:color="auto" w:fill="auto"/>
            <w:vAlign w:val="center"/>
          </w:tcPr>
          <w:p w14:paraId="50E2C345">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
              </w:rPr>
              <w:t>6</w:t>
            </w:r>
          </w:p>
        </w:tc>
        <w:tc>
          <w:tcPr>
            <w:tcW w:w="717" w:type="pct"/>
            <w:tcBorders>
              <w:tl2br w:val="nil"/>
              <w:tr2bl w:val="nil"/>
            </w:tcBorders>
            <w:shd w:val="clear" w:color="auto" w:fill="auto"/>
            <w:vAlign w:val="center"/>
          </w:tcPr>
          <w:p w14:paraId="24640920">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水务集团</w:t>
            </w:r>
          </w:p>
        </w:tc>
        <w:tc>
          <w:tcPr>
            <w:tcW w:w="3321" w:type="pct"/>
            <w:tcBorders>
              <w:tl2br w:val="nil"/>
              <w:tr2bl w:val="nil"/>
            </w:tcBorders>
            <w:shd w:val="clear" w:color="auto" w:fill="auto"/>
            <w:vAlign w:val="center"/>
          </w:tcPr>
          <w:p w14:paraId="5CF7CD2D">
            <w:pPr>
              <w:keepNext w:val="0"/>
              <w:keepLines w:val="0"/>
              <w:widowControl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负责水源地的日常管理，对水源保护区</w:t>
            </w:r>
            <w:r>
              <w:rPr>
                <w:rFonts w:hint="eastAsia" w:ascii="Times New Roman" w:hAnsi="Times New Roman" w:cs="宋体"/>
                <w:color w:val="auto"/>
                <w:kern w:val="2"/>
                <w:sz w:val="21"/>
                <w:szCs w:val="21"/>
                <w:lang w:val="en-US" w:eastAsia="zh-CN" w:bidi="ar"/>
              </w:rPr>
              <w:t>范围内</w:t>
            </w:r>
            <w:r>
              <w:rPr>
                <w:rFonts w:hint="eastAsia" w:ascii="Times New Roman" w:hAnsi="Times New Roman" w:eastAsia="宋体" w:cs="宋体"/>
                <w:color w:val="auto"/>
                <w:kern w:val="2"/>
                <w:sz w:val="21"/>
                <w:szCs w:val="21"/>
                <w:lang w:val="en-US" w:eastAsia="zh-CN" w:bidi="ar"/>
              </w:rPr>
              <w:t>的废渣、垃圾进行清除。</w:t>
            </w:r>
          </w:p>
        </w:tc>
        <w:tc>
          <w:tcPr>
            <w:tcW w:w="415" w:type="pct"/>
            <w:tcBorders>
              <w:tl2br w:val="nil"/>
              <w:tr2bl w:val="nil"/>
            </w:tcBorders>
            <w:shd w:val="clear" w:color="auto" w:fill="auto"/>
            <w:vAlign w:val="center"/>
          </w:tcPr>
          <w:p w14:paraId="1C70F141">
            <w:pPr>
              <w:keepNext w:val="0"/>
              <w:keepLines w:val="0"/>
              <w:suppressLineNumbers w:val="0"/>
              <w:spacing w:before="0" w:beforeAutospacing="0" w:after="0" w:afterAutospacing="0" w:line="360" w:lineRule="exact"/>
              <w:ind w:left="0" w:right="0"/>
              <w:rPr>
                <w:rFonts w:hint="default" w:ascii="Times New Roman" w:hAnsi="Times New Roman" w:eastAsia="Times New Roman"/>
                <w:color w:val="auto"/>
                <w:szCs w:val="21"/>
              </w:rPr>
            </w:pPr>
          </w:p>
        </w:tc>
      </w:tr>
    </w:tbl>
    <w:p w14:paraId="2F35BB57">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cs="Times New Roman"/>
          <w:b/>
          <w:bCs/>
          <w:color w:val="auto"/>
          <w:kern w:val="2"/>
          <w:sz w:val="28"/>
          <w:szCs w:val="28"/>
          <w:lang w:val="en-US" w:eastAsia="zh-CN" w:bidi="ar-SA"/>
        </w:rPr>
        <w:t>4.1</w:t>
      </w:r>
      <w:r>
        <w:rPr>
          <w:rFonts w:hint="default" w:ascii="Times New Roman" w:hAnsi="Times New Roman" w:eastAsia="宋体" w:cs="Times New Roman"/>
          <w:b/>
          <w:bCs/>
          <w:color w:val="auto"/>
          <w:kern w:val="2"/>
          <w:sz w:val="28"/>
          <w:szCs w:val="28"/>
          <w:lang w:val="en-US" w:eastAsia="zh-CN" w:bidi="ar-SA"/>
        </w:rPr>
        <w:t>.2</w:t>
      </w:r>
      <w:bookmarkEnd w:id="90"/>
      <w:bookmarkEnd w:id="91"/>
      <w:r>
        <w:rPr>
          <w:rFonts w:hint="default" w:ascii="Times New Roman" w:hAnsi="Times New Roman" w:cs="Times New Roman"/>
          <w:b/>
          <w:bCs/>
          <w:color w:val="auto"/>
          <w:kern w:val="2"/>
          <w:sz w:val="28"/>
          <w:szCs w:val="28"/>
          <w:lang w:val="en-US" w:eastAsia="zh-CN" w:bidi="ar-SA"/>
        </w:rPr>
        <w:t>加强饮用水水源地监测系统建设</w:t>
      </w:r>
    </w:p>
    <w:p w14:paraId="65089E4B">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加强保护水源的监督检测工作；加强饮用水水源地监测能力建设；拓宽监测领域；强化监测深度；完善监督手段；建立监督制度；提高监测能力和水平。确保保护区内水质符合饮用水源水质的要求。</w:t>
      </w:r>
    </w:p>
    <w:p w14:paraId="007F8538">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lang w:val="en-US" w:eastAsia="zh-CN"/>
        </w:rPr>
      </w:pPr>
      <w:r>
        <w:rPr>
          <w:rFonts w:hint="default" w:ascii="Times New Roman" w:hAnsi="Times New Roman" w:eastAsia="宋体" w:cs="Times New Roman"/>
          <w:color w:val="auto"/>
          <w:sz w:val="28"/>
        </w:rPr>
        <w:t>根据《地下水环境监测技术规范》</w:t>
      </w:r>
      <w:r>
        <w:rPr>
          <w:rFonts w:hint="default" w:ascii="Times New Roman" w:hAnsi="Times New Roman" w:eastAsia="宋体" w:cs="Times New Roman"/>
          <w:color w:val="auto"/>
          <w:sz w:val="28"/>
          <w:lang w:eastAsia="zh-CN"/>
        </w:rPr>
        <w:t>（</w:t>
      </w:r>
      <w:r>
        <w:rPr>
          <w:rFonts w:hint="default" w:ascii="Times New Roman" w:hAnsi="Times New Roman" w:eastAsia="宋体" w:cs="Times New Roman"/>
          <w:color w:val="auto"/>
          <w:sz w:val="28"/>
          <w:lang w:val="en-US" w:eastAsia="zh-CN"/>
        </w:rPr>
        <w:t>HJ/T164-20</w:t>
      </w:r>
      <w:r>
        <w:rPr>
          <w:rFonts w:hint="eastAsia" w:ascii="Times New Roman" w:hAnsi="Times New Roman" w:cs="Times New Roman"/>
          <w:color w:val="auto"/>
          <w:sz w:val="28"/>
          <w:lang w:val="en-US" w:eastAsia="zh-CN"/>
        </w:rPr>
        <w:t>20</w:t>
      </w:r>
      <w:r>
        <w:rPr>
          <w:rFonts w:hint="default" w:ascii="Times New Roman" w:hAnsi="Times New Roman" w:eastAsia="宋体" w:cs="Times New Roman"/>
          <w:color w:val="auto"/>
          <w:sz w:val="28"/>
          <w:lang w:eastAsia="zh-CN"/>
        </w:rPr>
        <w:t>）</w:t>
      </w:r>
      <w:r>
        <w:rPr>
          <w:rFonts w:hint="default" w:ascii="Times New Roman" w:hAnsi="Times New Roman" w:eastAsia="宋体" w:cs="Times New Roman"/>
          <w:color w:val="auto"/>
          <w:sz w:val="28"/>
        </w:rPr>
        <w:t>，</w:t>
      </w:r>
      <w:r>
        <w:rPr>
          <w:rFonts w:hint="default" w:ascii="Times New Roman" w:hAnsi="Times New Roman" w:eastAsia="宋体" w:cs="Times New Roman"/>
          <w:color w:val="auto"/>
          <w:sz w:val="28"/>
          <w:lang w:eastAsia="zh-CN"/>
        </w:rPr>
        <w:t>建议</w:t>
      </w:r>
      <w:r>
        <w:rPr>
          <w:rFonts w:hint="default" w:ascii="Times New Roman" w:hAnsi="Times New Roman" w:eastAsia="宋体" w:cs="Times New Roman"/>
          <w:color w:val="auto"/>
          <w:sz w:val="28"/>
        </w:rPr>
        <w:t>对</w:t>
      </w:r>
      <w:r>
        <w:rPr>
          <w:rFonts w:hint="eastAsia" w:ascii="Times New Roman" w:hAnsi="Times New Roman" w:cs="Times New Roman"/>
          <w:color w:val="auto"/>
          <w:sz w:val="28"/>
          <w:lang w:eastAsia="zh-CN"/>
        </w:rPr>
        <w:t>西安市灞桥区</w:t>
      </w:r>
      <w:r>
        <w:rPr>
          <w:rFonts w:hint="eastAsia" w:ascii="Times New Roman" w:hAnsi="Times New Roman" w:cs="Times New Roman"/>
          <w:color w:val="auto"/>
          <w:sz w:val="28"/>
          <w:lang w:val="en-US" w:eastAsia="zh-CN"/>
        </w:rPr>
        <w:t>狄寨街道狄寨村</w:t>
      </w:r>
      <w:r>
        <w:rPr>
          <w:rFonts w:hint="default" w:ascii="Times New Roman" w:hAnsi="Times New Roman" w:eastAsia="宋体" w:cs="Times New Roman"/>
          <w:color w:val="auto"/>
          <w:sz w:val="28"/>
        </w:rPr>
        <w:t>饮用水水源井</w:t>
      </w:r>
      <w:r>
        <w:rPr>
          <w:rFonts w:hint="eastAsia" w:ascii="Times New Roman" w:hAnsi="Times New Roman" w:cs="Times New Roman"/>
          <w:color w:val="auto"/>
          <w:sz w:val="28"/>
          <w:lang w:eastAsia="zh-CN"/>
        </w:rPr>
        <w:t>准保护区范围内</w:t>
      </w:r>
      <w:r>
        <w:rPr>
          <w:rFonts w:hint="default" w:ascii="Times New Roman" w:hAnsi="Times New Roman" w:eastAsia="宋体" w:cs="Times New Roman"/>
          <w:color w:val="auto"/>
          <w:sz w:val="28"/>
        </w:rPr>
        <w:t>设置监测井</w:t>
      </w:r>
      <w:r>
        <w:rPr>
          <w:rFonts w:hint="eastAsia" w:ascii="Times New Roman" w:hAnsi="Times New Roman" w:cs="Times New Roman"/>
          <w:color w:val="auto"/>
          <w:sz w:val="28"/>
          <w:lang w:eastAsia="zh-CN"/>
        </w:rPr>
        <w:t>，若周围有常年使用的民井、生产井，且取水层与监测目的层相一致时，可不设监测井</w:t>
      </w:r>
      <w:r>
        <w:rPr>
          <w:rFonts w:hint="default" w:ascii="Times New Roman" w:hAnsi="Times New Roman" w:eastAsia="宋体" w:cs="Times New Roman"/>
          <w:color w:val="auto"/>
          <w:sz w:val="28"/>
          <w:lang w:eastAsia="zh-CN"/>
        </w:rPr>
        <w:t>。</w:t>
      </w:r>
    </w:p>
    <w:p w14:paraId="4AAAC7E6">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bookmarkStart w:id="92" w:name="_Toc42592585"/>
      <w:bookmarkStart w:id="93" w:name="_Toc513189388"/>
      <w:r>
        <w:rPr>
          <w:rFonts w:hint="default" w:ascii="Times New Roman" w:hAnsi="Times New Roman" w:eastAsia="宋体" w:cs="Times New Roman"/>
          <w:b/>
          <w:bCs/>
          <w:color w:val="auto"/>
          <w:kern w:val="2"/>
          <w:sz w:val="28"/>
          <w:szCs w:val="28"/>
          <w:lang w:val="en-US" w:eastAsia="zh-CN" w:bidi="ar-SA"/>
        </w:rPr>
        <w:t>4.1.3</w:t>
      </w:r>
      <w:bookmarkEnd w:id="92"/>
      <w:bookmarkEnd w:id="93"/>
      <w:r>
        <w:rPr>
          <w:rFonts w:hint="default" w:ascii="Times New Roman" w:hAnsi="Times New Roman" w:cs="Times New Roman"/>
          <w:b/>
          <w:bCs/>
          <w:color w:val="auto"/>
          <w:kern w:val="2"/>
          <w:sz w:val="28"/>
          <w:szCs w:val="28"/>
          <w:lang w:val="en-US" w:eastAsia="zh-CN" w:bidi="ar-SA"/>
        </w:rPr>
        <w:t>加强饮用水水源保护区</w:t>
      </w:r>
      <w:r>
        <w:rPr>
          <w:rFonts w:hint="eastAsia" w:ascii="Times New Roman" w:hAnsi="Times New Roman" w:cs="Times New Roman"/>
          <w:b/>
          <w:bCs/>
          <w:color w:val="auto"/>
          <w:kern w:val="2"/>
          <w:sz w:val="28"/>
          <w:szCs w:val="28"/>
          <w:lang w:val="en-US" w:eastAsia="zh-CN" w:bidi="ar-SA"/>
        </w:rPr>
        <w:t>保护</w:t>
      </w:r>
    </w:p>
    <w:p w14:paraId="2D30A49C">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w:t>
      </w:r>
      <w:r>
        <w:rPr>
          <w:rFonts w:hint="default" w:ascii="Times New Roman" w:hAnsi="Times New Roman" w:eastAsia="宋体" w:cs="Times New Roman"/>
          <w:color w:val="auto"/>
          <w:sz w:val="28"/>
          <w:lang w:val="en-US" w:eastAsia="zh-CN"/>
        </w:rPr>
        <w:t>1</w:t>
      </w:r>
      <w:r>
        <w:rPr>
          <w:rFonts w:hint="default" w:ascii="Times New Roman" w:hAnsi="Times New Roman" w:eastAsia="宋体" w:cs="Times New Roman"/>
          <w:color w:val="auto"/>
          <w:sz w:val="28"/>
          <w:lang w:eastAsia="zh-CN"/>
        </w:rPr>
        <w:t>）一级保护区</w:t>
      </w:r>
    </w:p>
    <w:p w14:paraId="7B17AF81">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lang w:val="en-US" w:eastAsia="zh-CN"/>
        </w:rPr>
      </w:pPr>
      <w:r>
        <w:rPr>
          <w:rFonts w:hint="default" w:ascii="Times New Roman" w:hAnsi="Times New Roman" w:eastAsia="宋体" w:cs="Times New Roman"/>
          <w:color w:val="auto"/>
          <w:sz w:val="28"/>
        </w:rPr>
        <w:t>在饮用水水源保护区内，禁止设置排污口。禁止在饮用水水源一级保护区内新建、改建、扩建与供水设施和保护水源无关的建设项目</w:t>
      </w:r>
      <w:r>
        <w:rPr>
          <w:rFonts w:hint="default" w:ascii="Times New Roman" w:hAnsi="Times New Roman" w:eastAsia="宋体" w:cs="Times New Roman"/>
          <w:color w:val="auto"/>
          <w:sz w:val="28"/>
          <w:lang w:eastAsia="zh-CN"/>
        </w:rPr>
        <w:t>；</w:t>
      </w:r>
      <w:r>
        <w:rPr>
          <w:rFonts w:hint="default" w:ascii="Times New Roman" w:hAnsi="Times New Roman" w:eastAsia="宋体" w:cs="Times New Roman"/>
          <w:color w:val="auto"/>
          <w:sz w:val="28"/>
        </w:rPr>
        <w:t>已建成的与供水设施和保护水源无关的建设项目，由</w:t>
      </w:r>
      <w:r>
        <w:rPr>
          <w:rFonts w:hint="eastAsia" w:ascii="Times New Roman" w:hAnsi="Times New Roman" w:cs="Times New Roman"/>
          <w:color w:val="auto"/>
          <w:sz w:val="28"/>
          <w:lang w:eastAsia="zh-CN"/>
        </w:rPr>
        <w:t>西安市灞桥区</w:t>
      </w:r>
      <w:r>
        <w:rPr>
          <w:rFonts w:hint="default" w:ascii="Times New Roman" w:hAnsi="Times New Roman" w:eastAsia="宋体" w:cs="Times New Roman"/>
          <w:color w:val="auto"/>
          <w:sz w:val="28"/>
        </w:rPr>
        <w:t>人民政府责令拆除或者关闭。禁止在饮用水水源一级保护区内从事网箱养殖、旅游、游泳、垂钓或者其他可能污染饮用水水体的活动。</w:t>
      </w:r>
    </w:p>
    <w:p w14:paraId="5E512508">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lang w:val="en-US" w:eastAsia="zh-CN"/>
        </w:rPr>
      </w:pPr>
      <w:r>
        <w:rPr>
          <w:rFonts w:hint="default" w:ascii="Times New Roman" w:hAnsi="Times New Roman" w:eastAsia="宋体" w:cs="Times New Roman"/>
          <w:color w:val="auto"/>
          <w:sz w:val="28"/>
          <w:lang w:val="en-US" w:eastAsia="zh-CN"/>
        </w:rPr>
        <w:t>（2）准保护区</w:t>
      </w:r>
    </w:p>
    <w:p w14:paraId="12E0003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宋体" w:cs="Times New Roman"/>
          <w:snapToGrid w:val="0"/>
          <w:color w:val="auto"/>
          <w:spacing w:val="0"/>
          <w:kern w:val="0"/>
          <w:sz w:val="28"/>
          <w:szCs w:val="28"/>
        </w:rPr>
      </w:pPr>
      <w:r>
        <w:rPr>
          <w:rFonts w:hint="default" w:ascii="Times New Roman" w:hAnsi="Times New Roman" w:eastAsia="宋体" w:cs="Times New Roman"/>
          <w:i w:val="0"/>
          <w:caps w:val="0"/>
          <w:snapToGrid w:val="0"/>
          <w:color w:val="auto"/>
          <w:spacing w:val="0"/>
          <w:kern w:val="0"/>
          <w:sz w:val="28"/>
          <w:szCs w:val="28"/>
          <w:shd w:val="clear" w:fill="FFFFFF"/>
        </w:rPr>
        <w:t>禁止在饮用水水源准保护区内新建、扩建对水体污染严重的建设项目</w:t>
      </w:r>
      <w:r>
        <w:rPr>
          <w:rFonts w:hint="eastAsia" w:ascii="Times New Roman" w:hAnsi="Times New Roman" w:cs="Times New Roman"/>
          <w:i w:val="0"/>
          <w:caps w:val="0"/>
          <w:snapToGrid w:val="0"/>
          <w:color w:val="auto"/>
          <w:spacing w:val="0"/>
          <w:kern w:val="0"/>
          <w:sz w:val="28"/>
          <w:szCs w:val="28"/>
          <w:shd w:val="clear" w:fill="FFFFFF"/>
          <w:lang w:eastAsia="zh-CN"/>
        </w:rPr>
        <w:t>；</w:t>
      </w:r>
      <w:r>
        <w:rPr>
          <w:rFonts w:hint="default" w:ascii="Times New Roman" w:hAnsi="Times New Roman" w:eastAsia="宋体" w:cs="Times New Roman"/>
          <w:i w:val="0"/>
          <w:caps w:val="0"/>
          <w:snapToGrid w:val="0"/>
          <w:color w:val="auto"/>
          <w:spacing w:val="0"/>
          <w:kern w:val="0"/>
          <w:sz w:val="28"/>
          <w:szCs w:val="28"/>
          <w:shd w:val="clear" w:fill="FFFFFF"/>
        </w:rPr>
        <w:t>改建建设项目，不得增加排污量。</w:t>
      </w:r>
    </w:p>
    <w:p w14:paraId="37AC71E4">
      <w:pPr>
        <w:pStyle w:val="10"/>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i w:val="0"/>
          <w:caps w:val="0"/>
          <w:snapToGrid w:val="0"/>
          <w:color w:val="auto"/>
          <w:spacing w:val="0"/>
          <w:kern w:val="0"/>
          <w:sz w:val="28"/>
          <w:szCs w:val="28"/>
          <w:shd w:val="clear" w:fill="FFFFFF"/>
          <w:lang w:val="en-US" w:eastAsia="zh-CN"/>
        </w:rPr>
      </w:pPr>
      <w:r>
        <w:rPr>
          <w:rFonts w:hint="eastAsia" w:ascii="Times New Roman" w:hAnsi="Times New Roman" w:cs="Times New Roman"/>
          <w:i w:val="0"/>
          <w:caps w:val="0"/>
          <w:snapToGrid w:val="0"/>
          <w:color w:val="auto"/>
          <w:spacing w:val="0"/>
          <w:kern w:val="0"/>
          <w:sz w:val="28"/>
          <w:szCs w:val="28"/>
          <w:shd w:val="clear" w:fill="FFFFFF"/>
          <w:lang w:val="en-US" w:eastAsia="zh-CN"/>
        </w:rPr>
        <w:t>2</w:t>
      </w:r>
      <w:r>
        <w:rPr>
          <w:rFonts w:hint="default" w:ascii="Times New Roman" w:hAnsi="Times New Roman" w:eastAsia="宋体" w:cs="Times New Roman"/>
          <w:i w:val="0"/>
          <w:caps w:val="0"/>
          <w:snapToGrid w:val="0"/>
          <w:color w:val="auto"/>
          <w:spacing w:val="0"/>
          <w:kern w:val="0"/>
          <w:sz w:val="28"/>
          <w:szCs w:val="28"/>
          <w:shd w:val="clear" w:fill="FFFFFF"/>
          <w:lang w:val="en-US" w:eastAsia="zh-CN"/>
        </w:rPr>
        <w:t>个水源井准保护区范围内现状</w:t>
      </w:r>
      <w:r>
        <w:rPr>
          <w:rFonts w:hint="eastAsia" w:ascii="Times New Roman" w:hAnsi="Times New Roman" w:cs="Times New Roman"/>
          <w:i w:val="0"/>
          <w:caps w:val="0"/>
          <w:snapToGrid w:val="0"/>
          <w:color w:val="auto"/>
          <w:spacing w:val="0"/>
          <w:kern w:val="0"/>
          <w:sz w:val="28"/>
          <w:szCs w:val="28"/>
          <w:shd w:val="clear" w:fill="FFFFFF"/>
          <w:lang w:val="en-US" w:eastAsia="zh-CN"/>
        </w:rPr>
        <w:t>不</w:t>
      </w:r>
      <w:r>
        <w:rPr>
          <w:rFonts w:hint="default" w:ascii="Times New Roman" w:hAnsi="Times New Roman" w:eastAsia="宋体" w:cs="Times New Roman"/>
          <w:i w:val="0"/>
          <w:caps w:val="0"/>
          <w:snapToGrid w:val="0"/>
          <w:color w:val="auto"/>
          <w:spacing w:val="0"/>
          <w:kern w:val="0"/>
          <w:sz w:val="28"/>
          <w:szCs w:val="28"/>
          <w:shd w:val="clear" w:fill="FFFFFF"/>
          <w:lang w:val="en-US" w:eastAsia="zh-CN"/>
        </w:rPr>
        <w:t>存在</w:t>
      </w:r>
      <w:r>
        <w:rPr>
          <w:rFonts w:hint="eastAsia" w:ascii="Times New Roman" w:hAnsi="Times New Roman" w:cs="Times New Roman"/>
          <w:i w:val="0"/>
          <w:caps w:val="0"/>
          <w:snapToGrid w:val="0"/>
          <w:color w:val="auto"/>
          <w:spacing w:val="0"/>
          <w:kern w:val="0"/>
          <w:sz w:val="28"/>
          <w:szCs w:val="28"/>
          <w:shd w:val="clear" w:fill="FFFFFF"/>
          <w:lang w:val="en-US" w:eastAsia="zh-CN"/>
        </w:rPr>
        <w:t>工业企业等</w:t>
      </w:r>
      <w:r>
        <w:rPr>
          <w:rFonts w:hint="default" w:ascii="Times New Roman" w:hAnsi="Times New Roman" w:eastAsia="宋体" w:cs="Times New Roman"/>
          <w:i w:val="0"/>
          <w:caps w:val="0"/>
          <w:snapToGrid w:val="0"/>
          <w:color w:val="auto"/>
          <w:spacing w:val="0"/>
          <w:kern w:val="0"/>
          <w:sz w:val="28"/>
          <w:szCs w:val="28"/>
          <w:shd w:val="clear" w:fill="FFFFFF"/>
          <w:lang w:val="en-US" w:eastAsia="zh-CN"/>
        </w:rPr>
        <w:t>建设项目</w:t>
      </w:r>
      <w:r>
        <w:rPr>
          <w:rFonts w:hint="eastAsia" w:ascii="Times New Roman" w:hAnsi="Times New Roman" w:cs="Times New Roman"/>
          <w:i w:val="0"/>
          <w:caps w:val="0"/>
          <w:snapToGrid w:val="0"/>
          <w:color w:val="auto"/>
          <w:spacing w:val="0"/>
          <w:kern w:val="0"/>
          <w:sz w:val="28"/>
          <w:szCs w:val="28"/>
          <w:shd w:val="clear" w:fill="FFFFFF"/>
          <w:lang w:val="en-US" w:eastAsia="zh-CN"/>
        </w:rPr>
        <w:t>；发改部门应严格把控项目备案条件，住建部门对于保护范围内与供水工程无关的建设项目不得核发选址意见书。</w:t>
      </w:r>
    </w:p>
    <w:p w14:paraId="35606452">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bookmarkStart w:id="94" w:name="_Toc311735308"/>
      <w:r>
        <w:rPr>
          <w:rFonts w:hint="default" w:ascii="Times New Roman" w:hAnsi="Times New Roman" w:eastAsia="宋体" w:cs="Times New Roman"/>
          <w:b/>
          <w:bCs/>
          <w:color w:val="auto"/>
          <w:kern w:val="2"/>
          <w:sz w:val="28"/>
          <w:szCs w:val="28"/>
          <w:lang w:val="en-US" w:eastAsia="zh-CN" w:bidi="ar-SA"/>
        </w:rPr>
        <w:t>4.1.</w:t>
      </w:r>
      <w:r>
        <w:rPr>
          <w:rFonts w:hint="eastAsia" w:ascii="Times New Roman" w:hAnsi="Times New Roman" w:cs="Times New Roman"/>
          <w:b/>
          <w:bCs/>
          <w:color w:val="auto"/>
          <w:kern w:val="2"/>
          <w:sz w:val="28"/>
          <w:szCs w:val="28"/>
          <w:lang w:val="en-US" w:eastAsia="zh-CN" w:bidi="ar-SA"/>
        </w:rPr>
        <w:t>4</w:t>
      </w:r>
      <w:r>
        <w:rPr>
          <w:rFonts w:hint="default" w:ascii="Times New Roman" w:hAnsi="Times New Roman" w:eastAsia="宋体" w:cs="Times New Roman"/>
          <w:b/>
          <w:bCs/>
          <w:color w:val="auto"/>
          <w:kern w:val="2"/>
          <w:sz w:val="28"/>
          <w:szCs w:val="28"/>
          <w:lang w:val="en-US" w:eastAsia="zh-CN" w:bidi="ar-SA"/>
        </w:rPr>
        <w:t>加强水源保护区宣传</w:t>
      </w:r>
    </w:p>
    <w:p w14:paraId="4EE445A3">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加强水源保护区保护宣传力度，引导公众参与保护。设立各种水源保护区标记，并向当地居民宣传饮用水源保护区划分范围和管理规范，形成上下联动、齐抓共管的良好氛围。</w:t>
      </w:r>
    </w:p>
    <w:p w14:paraId="15889D88">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通过建立信息发布等制度，强化公众监督，形成全社会共同参与保护饮水安全的氛围，重点对沿水井周围的</w:t>
      </w:r>
      <w:r>
        <w:rPr>
          <w:rFonts w:hint="eastAsia" w:ascii="Times New Roman" w:hAnsi="Times New Roman" w:cs="Times New Roman"/>
          <w:color w:val="auto"/>
          <w:sz w:val="28"/>
          <w:lang w:eastAsia="zh-CN"/>
        </w:rPr>
        <w:t>居民</w:t>
      </w:r>
      <w:r>
        <w:rPr>
          <w:rFonts w:hint="default" w:ascii="Times New Roman" w:hAnsi="Times New Roman" w:eastAsia="宋体" w:cs="Times New Roman"/>
          <w:color w:val="auto"/>
          <w:sz w:val="28"/>
        </w:rPr>
        <w:t>进行水源保护知识法规的教育，提高城镇居民自觉遵守饮用水水源保护管理了的意识。</w:t>
      </w:r>
    </w:p>
    <w:p w14:paraId="161F4C72">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lang w:val="en-US" w:eastAsia="zh-CN"/>
        </w:rPr>
      </w:pPr>
      <w:r>
        <w:rPr>
          <w:rFonts w:hint="default" w:ascii="Times New Roman" w:hAnsi="Times New Roman" w:eastAsia="宋体" w:cs="Times New Roman"/>
          <w:color w:val="auto"/>
          <w:sz w:val="28"/>
        </w:rPr>
        <w:t>利用新闻媒体和互联网对水源保护区进行广泛、深入和持久的宣传，提高城镇居民的水源保护意识。把每年“世界水日”、“世界环境日”、“中国水周”、“城市节水宣传周”等集中宣传活动与日常宣传相结合，多种形式宣传水源保护建设对</w:t>
      </w:r>
      <w:r>
        <w:rPr>
          <w:rFonts w:hint="eastAsia" w:ascii="Times New Roman" w:hAnsi="Times New Roman" w:cs="Times New Roman"/>
          <w:color w:val="auto"/>
          <w:sz w:val="28"/>
          <w:lang w:eastAsia="zh-CN"/>
        </w:rPr>
        <w:t>西安市灞桥区</w:t>
      </w:r>
      <w:r>
        <w:rPr>
          <w:rFonts w:hint="default" w:ascii="Times New Roman" w:hAnsi="Times New Roman" w:eastAsia="宋体" w:cs="Times New Roman"/>
          <w:color w:val="auto"/>
          <w:sz w:val="28"/>
        </w:rPr>
        <w:t>经济社会可持续发展起到重要意义，为水源保护建设工作营造良好的社会氛围。</w:t>
      </w:r>
    </w:p>
    <w:p w14:paraId="46B9AAAA">
      <w:pPr>
        <w:keepNext/>
        <w:keepLines/>
        <w:widowControl w:val="0"/>
        <w:spacing w:before="120" w:after="120" w:line="360" w:lineRule="auto"/>
        <w:jc w:val="left"/>
        <w:outlineLvl w:val="2"/>
        <w:rPr>
          <w:rFonts w:hint="default" w:ascii="Times New Roman" w:hAnsi="Times New Roman"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4.1.</w:t>
      </w:r>
      <w:r>
        <w:rPr>
          <w:rFonts w:hint="eastAsia" w:ascii="Times New Roman" w:hAnsi="Times New Roman" w:cs="Times New Roman"/>
          <w:b/>
          <w:bCs/>
          <w:color w:val="auto"/>
          <w:kern w:val="2"/>
          <w:sz w:val="28"/>
          <w:szCs w:val="28"/>
          <w:lang w:val="en-US" w:eastAsia="zh-CN" w:bidi="ar-SA"/>
        </w:rPr>
        <w:t>5</w:t>
      </w:r>
      <w:r>
        <w:rPr>
          <w:rFonts w:hint="default" w:ascii="Times New Roman" w:hAnsi="Times New Roman" w:cs="Times New Roman"/>
          <w:b/>
          <w:bCs/>
          <w:color w:val="auto"/>
          <w:kern w:val="2"/>
          <w:sz w:val="28"/>
          <w:szCs w:val="28"/>
          <w:lang w:val="en-US" w:eastAsia="zh-CN" w:bidi="ar-SA"/>
        </w:rPr>
        <w:t>应急保障措施</w:t>
      </w:r>
    </w:p>
    <w:p w14:paraId="54CCE057">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eastAsia" w:ascii="Times New Roman" w:hAnsi="Times New Roman" w:cs="Times New Roman"/>
          <w:color w:val="auto"/>
          <w:sz w:val="28"/>
          <w:lang w:eastAsia="zh-CN"/>
        </w:rPr>
      </w:pPr>
      <w:r>
        <w:rPr>
          <w:rFonts w:hint="eastAsia" w:ascii="Times New Roman" w:hAnsi="Times New Roman" w:cs="Times New Roman"/>
          <w:color w:val="auto"/>
          <w:sz w:val="28"/>
          <w:lang w:val="en-US" w:eastAsia="zh-CN"/>
        </w:rPr>
        <w:t>建立</w:t>
      </w:r>
      <w:r>
        <w:rPr>
          <w:rFonts w:hint="default" w:ascii="Times New Roman" w:hAnsi="Times New Roman" w:eastAsia="宋体" w:cs="Times New Roman"/>
          <w:color w:val="auto"/>
          <w:sz w:val="28"/>
        </w:rPr>
        <w:t>供水</w:t>
      </w:r>
      <w:r>
        <w:rPr>
          <w:rFonts w:hint="eastAsia" w:ascii="Times New Roman" w:hAnsi="Times New Roman" w:cs="Times New Roman"/>
          <w:color w:val="auto"/>
          <w:sz w:val="28"/>
          <w:lang w:eastAsia="zh-CN"/>
        </w:rPr>
        <w:t>安全</w:t>
      </w:r>
      <w:r>
        <w:rPr>
          <w:rFonts w:hint="default" w:ascii="Times New Roman" w:hAnsi="Times New Roman" w:eastAsia="宋体" w:cs="Times New Roman"/>
          <w:color w:val="auto"/>
          <w:sz w:val="28"/>
        </w:rPr>
        <w:t>应急预案，</w:t>
      </w:r>
      <w:r>
        <w:rPr>
          <w:rFonts w:hint="eastAsia" w:ascii="Times New Roman" w:hAnsi="Times New Roman" w:cs="Times New Roman"/>
          <w:color w:val="auto"/>
          <w:sz w:val="28"/>
          <w:lang w:eastAsia="zh-CN"/>
        </w:rPr>
        <w:t>预案</w:t>
      </w:r>
      <w:r>
        <w:rPr>
          <w:rFonts w:hint="eastAsia" w:ascii="Times New Roman" w:hAnsi="Times New Roman" w:cs="Times New Roman"/>
          <w:color w:val="auto"/>
          <w:sz w:val="28"/>
          <w:lang w:val="en-US" w:eastAsia="zh-CN"/>
        </w:rPr>
        <w:t>需</w:t>
      </w:r>
      <w:r>
        <w:rPr>
          <w:rFonts w:hint="eastAsia" w:ascii="Times New Roman" w:hAnsi="Times New Roman" w:cs="Times New Roman"/>
          <w:color w:val="auto"/>
          <w:sz w:val="28"/>
          <w:lang w:eastAsia="zh-CN"/>
        </w:rPr>
        <w:t>明确组织体系，事故分级，预防机制、信息监测及预警，应急事故的对策措施，后期处置和保障措施。</w:t>
      </w:r>
    </w:p>
    <w:p w14:paraId="713755FD">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cs="Times New Roman"/>
          <w:b/>
          <w:bCs/>
          <w:color w:val="auto"/>
          <w:kern w:val="2"/>
          <w:sz w:val="28"/>
          <w:szCs w:val="28"/>
          <w:lang w:val="en-US" w:eastAsia="zh-CN" w:bidi="ar-SA"/>
        </w:rPr>
      </w:pPr>
      <w:r>
        <w:rPr>
          <w:rFonts w:hint="eastAsia" w:ascii="Times New Roman" w:hAnsi="Times New Roman" w:cs="Times New Roman"/>
          <w:color w:val="auto"/>
          <w:sz w:val="28"/>
          <w:lang w:eastAsia="zh-CN"/>
        </w:rPr>
        <w:t>供水安全应急领导小组</w:t>
      </w:r>
      <w:r>
        <w:rPr>
          <w:rFonts w:hint="eastAsia" w:ascii="Times New Roman" w:hAnsi="Times New Roman" w:cs="Times New Roman"/>
          <w:color w:val="auto"/>
          <w:sz w:val="28"/>
          <w:lang w:val="en-US" w:eastAsia="zh-CN"/>
        </w:rPr>
        <w:t>需</w:t>
      </w:r>
      <w:r>
        <w:rPr>
          <w:rFonts w:hint="eastAsia" w:ascii="Times New Roman" w:hAnsi="Times New Roman" w:cs="Times New Roman"/>
          <w:color w:val="auto"/>
          <w:sz w:val="28"/>
          <w:lang w:eastAsia="zh-CN"/>
        </w:rPr>
        <w:t>负责供水突发事件的应急处理及日常工作，</w:t>
      </w:r>
      <w:r>
        <w:rPr>
          <w:rFonts w:hint="default" w:ascii="Times New Roman" w:hAnsi="Times New Roman" w:eastAsia="宋体" w:cs="Times New Roman"/>
          <w:color w:val="auto"/>
          <w:sz w:val="28"/>
        </w:rPr>
        <w:t>认真执行水源地</w:t>
      </w:r>
      <w:r>
        <w:rPr>
          <w:rFonts w:hint="eastAsia" w:ascii="Times New Roman" w:hAnsi="Times New Roman" w:cs="Times New Roman"/>
          <w:color w:val="auto"/>
          <w:sz w:val="28"/>
          <w:lang w:eastAsia="zh-CN"/>
        </w:rPr>
        <w:t>预防机制、信息监测预警及报告制度等</w:t>
      </w:r>
      <w:r>
        <w:rPr>
          <w:rFonts w:hint="default" w:ascii="Times New Roman" w:hAnsi="Times New Roman" w:eastAsia="宋体" w:cs="Times New Roman"/>
          <w:color w:val="auto"/>
          <w:sz w:val="28"/>
        </w:rPr>
        <w:t>，一旦发生</w:t>
      </w:r>
      <w:r>
        <w:rPr>
          <w:rFonts w:hint="eastAsia" w:ascii="Times New Roman" w:hAnsi="Times New Roman" w:cs="Times New Roman"/>
          <w:color w:val="auto"/>
          <w:sz w:val="28"/>
          <w:lang w:eastAsia="zh-CN"/>
        </w:rPr>
        <w:t>供水事故</w:t>
      </w:r>
      <w:r>
        <w:rPr>
          <w:rFonts w:hint="default" w:ascii="Times New Roman" w:hAnsi="Times New Roman" w:eastAsia="宋体" w:cs="Times New Roman"/>
          <w:color w:val="auto"/>
          <w:sz w:val="28"/>
        </w:rPr>
        <w:t>，要及时</w:t>
      </w:r>
      <w:r>
        <w:rPr>
          <w:rFonts w:hint="eastAsia" w:ascii="Times New Roman" w:hAnsi="Times New Roman" w:cs="Times New Roman"/>
          <w:color w:val="auto"/>
          <w:sz w:val="28"/>
          <w:lang w:eastAsia="zh-CN"/>
        </w:rPr>
        <w:t>上报有关供水应急情况，</w:t>
      </w:r>
      <w:r>
        <w:rPr>
          <w:rFonts w:hint="default" w:ascii="Times New Roman" w:hAnsi="Times New Roman" w:eastAsia="宋体" w:cs="Times New Roman"/>
          <w:color w:val="auto"/>
          <w:sz w:val="28"/>
        </w:rPr>
        <w:t>启动应急监测、紧急处置、信息发布等各项程序，措施落实要到位。</w:t>
      </w:r>
      <w:r>
        <w:rPr>
          <w:rFonts w:hint="eastAsia" w:ascii="Times New Roman" w:hAnsi="Times New Roman" w:cs="Times New Roman"/>
          <w:color w:val="auto"/>
          <w:sz w:val="28"/>
          <w:lang w:eastAsia="zh-CN"/>
        </w:rPr>
        <w:t>应急处置后，各单位应进行工作总结，分析供水应急工作的成效和经验教训，并及时修订、充实和完善应急预案。</w:t>
      </w:r>
    </w:p>
    <w:bookmarkEnd w:id="94"/>
    <w:p w14:paraId="2D9B6DCB">
      <w:pPr>
        <w:keepNext/>
        <w:keepLines/>
        <w:widowControl w:val="0"/>
        <w:spacing w:before="260" w:after="26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95" w:name="_Toc28708"/>
      <w:bookmarkStart w:id="96" w:name="_Toc513189389"/>
      <w:bookmarkStart w:id="97" w:name="_Toc42592586"/>
      <w:r>
        <w:rPr>
          <w:rFonts w:hint="default" w:ascii="Times New Roman" w:hAnsi="Times New Roman" w:eastAsia="宋体" w:cs="Times New Roman"/>
          <w:b/>
          <w:bCs/>
          <w:color w:val="auto"/>
          <w:kern w:val="2"/>
          <w:sz w:val="30"/>
          <w:szCs w:val="32"/>
          <w:lang w:val="en-US" w:eastAsia="zh-CN" w:bidi="ar-SA"/>
        </w:rPr>
        <w:t>4.2饮用水水源保护区的监测</w:t>
      </w:r>
      <w:bookmarkEnd w:id="95"/>
      <w:bookmarkEnd w:id="96"/>
      <w:bookmarkEnd w:id="97"/>
    </w:p>
    <w:p w14:paraId="41842471">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4.2.1监测机构</w:t>
      </w:r>
    </w:p>
    <w:p w14:paraId="5B3FBA50">
      <w:pPr>
        <w:keepNext/>
        <w:keepLines/>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为更好的实现水源地保护规范化管理，必须加强西安市灞桥区狄寨街道狄寨村水源地水质监测体系建设。根据《全国集中式生活饮用水水源地水质监测实施方案》，当地环境监测站应承担水源地监测工作，如不具备能力的监测指标，</w:t>
      </w:r>
      <w:r>
        <w:rPr>
          <w:rFonts w:hint="default" w:ascii="Times New Roman" w:hAnsi="Times New Roman" w:cs="Times New Roman"/>
          <w:color w:val="auto"/>
          <w:sz w:val="28"/>
          <w:szCs w:val="28"/>
          <w:lang w:val="en-US" w:eastAsia="zh-CN"/>
        </w:rPr>
        <w:t>由</w:t>
      </w:r>
      <w:r>
        <w:rPr>
          <w:rFonts w:hint="eastAsia" w:ascii="Times New Roman" w:hAnsi="Times New Roman" w:cs="Times New Roman"/>
          <w:color w:val="auto"/>
          <w:sz w:val="28"/>
          <w:szCs w:val="28"/>
          <w:lang w:val="en-US" w:eastAsia="zh-CN"/>
        </w:rPr>
        <w:t>西安市生态环境局灞桥分局委托有资质的环境监测机构完成。</w:t>
      </w:r>
    </w:p>
    <w:p w14:paraId="17B06818">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4.2.2监测计划</w:t>
      </w:r>
    </w:p>
    <w:p w14:paraId="62FE6F48">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1、监测点布设原则</w:t>
      </w:r>
    </w:p>
    <w:p w14:paraId="3F462C0C">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监测点布设应遵循针对性原则，根据水源地保护区特征，选择影响显著、对水质影响起到控制作用的主要因子进行监测，合理选择监测点位和监测项目，力求做到监测方案有针对性和代表性；积极性与可操作性原则，监测项目、频次、时段和方法以满足监测主要任务为前提，尽量利用现有监测机构成果，力求以较少的投入获得较完整的环境监测数据。</w:t>
      </w:r>
    </w:p>
    <w:p w14:paraId="190A2440">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2、监测项目与频率  </w:t>
      </w:r>
    </w:p>
    <w:p w14:paraId="2F40E2FB">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监测项目和监测频率根据《地下水质量标准》（GB/T14848-2017），以及保护区污染源特征确定。监测分析方法采用国家环保总局颁布的《环境监测技术规范》中相应项目的监测分析方法。</w:t>
      </w:r>
      <w:r>
        <w:rPr>
          <w:rFonts w:hint="eastAsia" w:ascii="Times New Roman" w:hAnsi="Times New Roman" w:cs="宋体"/>
          <w:color w:val="auto"/>
          <w:sz w:val="28"/>
          <w:szCs w:val="28"/>
        </w:rPr>
        <w:t>建议每</w:t>
      </w:r>
      <w:r>
        <w:rPr>
          <w:rFonts w:hint="eastAsia" w:ascii="Times New Roman" w:hAnsi="Times New Roman" w:cs="宋体"/>
          <w:color w:val="auto"/>
          <w:sz w:val="28"/>
          <w:szCs w:val="28"/>
          <w:lang w:val="en-US" w:eastAsia="zh-CN"/>
        </w:rPr>
        <w:t>半年</w:t>
      </w:r>
      <w:r>
        <w:rPr>
          <w:rFonts w:hint="eastAsia" w:ascii="Times New Roman" w:hAnsi="Times New Roman" w:cs="宋体"/>
          <w:color w:val="auto"/>
          <w:sz w:val="28"/>
          <w:szCs w:val="28"/>
        </w:rPr>
        <w:t>进行常规监测，每年进行一次</w:t>
      </w:r>
      <w:r>
        <w:rPr>
          <w:rFonts w:hint="eastAsia" w:ascii="Times New Roman" w:hAnsi="Times New Roman" w:cs="宋体"/>
          <w:color w:val="auto"/>
          <w:sz w:val="28"/>
          <w:szCs w:val="28"/>
          <w:lang w:val="en-US" w:eastAsia="zh-CN"/>
        </w:rPr>
        <w:t>非常规项目</w:t>
      </w:r>
      <w:r>
        <w:rPr>
          <w:rFonts w:hint="eastAsia" w:ascii="Times New Roman" w:hAnsi="Times New Roman" w:cs="宋体"/>
          <w:color w:val="auto"/>
          <w:sz w:val="28"/>
          <w:szCs w:val="28"/>
        </w:rPr>
        <w:t>监测，并收档留存。</w:t>
      </w:r>
    </w:p>
    <w:p w14:paraId="0973E2D3">
      <w:pPr>
        <w:widowControl/>
        <w:spacing w:line="360" w:lineRule="auto"/>
        <w:ind w:firstLine="576"/>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3、监测布点</w:t>
      </w:r>
    </w:p>
    <w:p w14:paraId="3055CDE7">
      <w:pPr>
        <w:spacing w:line="600" w:lineRule="atLeast"/>
        <w:ind w:firstLine="560" w:firstLineChars="200"/>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根据水源地分布情况以及现有常规监控点，本次建议布设</w:t>
      </w:r>
      <w:r>
        <w:rPr>
          <w:rFonts w:hint="eastAsia" w:ascii="Times New Roman" w:hAnsi="Times New Roman" w:cs="Times New Roman"/>
          <w:color w:val="auto"/>
          <w:sz w:val="28"/>
          <w:szCs w:val="28"/>
          <w:lang w:val="en-US" w:eastAsia="zh-CN"/>
        </w:rPr>
        <w:t>2</w:t>
      </w:r>
      <w:r>
        <w:rPr>
          <w:rFonts w:hint="default" w:ascii="Times New Roman" w:hAnsi="Times New Roman" w:eastAsia="宋体" w:cs="Times New Roman"/>
          <w:color w:val="auto"/>
          <w:sz w:val="28"/>
          <w:szCs w:val="28"/>
        </w:rPr>
        <w:t>个监控点位，监测井位详见表4.2-1，监测位置见水源地保护区监测点位分布图。</w:t>
      </w:r>
    </w:p>
    <w:p w14:paraId="539F15B5">
      <w:pPr>
        <w:spacing w:line="5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 xml:space="preserve">表4.2-1   监测布点断面及监测因子一览表 </w:t>
      </w:r>
    </w:p>
    <w:tbl>
      <w:tblPr>
        <w:tblStyle w:val="19"/>
        <w:tblW w:w="508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02"/>
        <w:gridCol w:w="1664"/>
        <w:gridCol w:w="4421"/>
        <w:gridCol w:w="1190"/>
      </w:tblGrid>
      <w:tr w14:paraId="09A56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exact"/>
        </w:trPr>
        <w:tc>
          <w:tcPr>
            <w:tcW w:w="709" w:type="pct"/>
            <w:noWrap w:val="0"/>
            <w:vAlign w:val="center"/>
          </w:tcPr>
          <w:p w14:paraId="06C17F87">
            <w:pPr>
              <w:keepNext w:val="0"/>
              <w:keepLines w:val="0"/>
              <w:suppressLineNumbers w:val="0"/>
              <w:spacing w:before="0" w:beforeAutospacing="0" w:after="0" w:afterAutospacing="0" w:line="340" w:lineRule="atLeas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水源地名称</w:t>
            </w:r>
          </w:p>
        </w:tc>
        <w:tc>
          <w:tcPr>
            <w:tcW w:w="981" w:type="pct"/>
            <w:vMerge w:val="restart"/>
            <w:noWrap w:val="0"/>
            <w:vAlign w:val="center"/>
          </w:tcPr>
          <w:p w14:paraId="6F9B40C2">
            <w:pPr>
              <w:keepNext w:val="0"/>
              <w:keepLines w:val="0"/>
              <w:suppressLineNumbers w:val="0"/>
              <w:spacing w:before="0" w:beforeAutospacing="0" w:after="0" w:afterAutospacing="0" w:line="340" w:lineRule="atLeast"/>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水井编号</w:t>
            </w:r>
          </w:p>
        </w:tc>
        <w:tc>
          <w:tcPr>
            <w:tcW w:w="3308" w:type="pct"/>
            <w:gridSpan w:val="2"/>
            <w:vMerge w:val="restart"/>
            <w:noWrap w:val="0"/>
            <w:vAlign w:val="center"/>
          </w:tcPr>
          <w:p w14:paraId="52DDF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105" w:leftChars="-50" w:right="-105" w:rightChars="-50"/>
              <w:jc w:val="center"/>
              <w:textAlignment w:val="auto"/>
              <w:rPr>
                <w:rFonts w:hint="default"/>
                <w:color w:val="auto"/>
              </w:rPr>
            </w:pPr>
            <w:r>
              <w:rPr>
                <w:rFonts w:hint="eastAsia" w:ascii="Times New Roman" w:hAnsi="Times New Roman" w:cs="Times New Roman"/>
                <w:b/>
                <w:bCs/>
                <w:color w:val="auto"/>
                <w:sz w:val="21"/>
                <w:szCs w:val="21"/>
                <w:lang w:eastAsia="zh-CN"/>
              </w:rPr>
              <w:t>委托监测</w:t>
            </w:r>
          </w:p>
        </w:tc>
      </w:tr>
      <w:tr w14:paraId="723D9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709" w:type="pct"/>
            <w:vMerge w:val="restart"/>
            <w:noWrap w:val="0"/>
            <w:vAlign w:val="center"/>
          </w:tcPr>
          <w:p w14:paraId="3777DD60">
            <w:pPr>
              <w:keepNext w:val="0"/>
              <w:keepLines w:val="0"/>
              <w:suppressLineNumbers w:val="0"/>
              <w:spacing w:before="0" w:beforeAutospacing="0" w:after="0" w:afterAutospacing="0" w:line="340" w:lineRule="atLeast"/>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b w:val="0"/>
                <w:bCs/>
                <w:color w:val="auto"/>
                <w:sz w:val="21"/>
                <w:szCs w:val="21"/>
                <w:lang w:val="en-US" w:eastAsia="zh-CN"/>
              </w:rPr>
              <w:t>西安市灞桥区狄寨街道狄寨村</w:t>
            </w:r>
            <w:r>
              <w:rPr>
                <w:rFonts w:hint="default" w:ascii="Times New Roman" w:hAnsi="Times New Roman" w:cs="Times New Roman"/>
                <w:b w:val="0"/>
                <w:bCs/>
                <w:color w:val="auto"/>
                <w:sz w:val="21"/>
                <w:szCs w:val="21"/>
              </w:rPr>
              <w:t>水源地</w:t>
            </w:r>
          </w:p>
        </w:tc>
        <w:tc>
          <w:tcPr>
            <w:tcW w:w="981" w:type="pct"/>
            <w:vMerge w:val="continue"/>
            <w:noWrap w:val="0"/>
            <w:vAlign w:val="center"/>
          </w:tcPr>
          <w:p w14:paraId="32DD3E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3308" w:type="pct"/>
            <w:gridSpan w:val="2"/>
            <w:vMerge w:val="continue"/>
            <w:noWrap w:val="0"/>
            <w:vAlign w:val="center"/>
          </w:tcPr>
          <w:p w14:paraId="05084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105" w:leftChars="-50" w:right="-105" w:rightChars="-50"/>
              <w:jc w:val="center"/>
              <w:textAlignment w:val="auto"/>
              <w:rPr>
                <w:rFonts w:hint="default"/>
                <w:color w:val="auto"/>
              </w:rPr>
            </w:pPr>
          </w:p>
        </w:tc>
      </w:tr>
      <w:tr w14:paraId="037F8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709" w:type="pct"/>
            <w:vMerge w:val="continue"/>
            <w:noWrap w:val="0"/>
            <w:vAlign w:val="center"/>
          </w:tcPr>
          <w:p w14:paraId="519E5017">
            <w:pPr>
              <w:keepNext w:val="0"/>
              <w:keepLines w:val="0"/>
              <w:suppressLineNumbers w:val="0"/>
              <w:spacing w:before="0" w:beforeAutospacing="0" w:after="0" w:afterAutospacing="0" w:line="340" w:lineRule="atLeast"/>
              <w:ind w:left="0" w:right="0"/>
              <w:jc w:val="center"/>
              <w:rPr>
                <w:rFonts w:hint="default" w:ascii="Times New Roman" w:hAnsi="Times New Roman" w:cs="Times New Roman"/>
                <w:b w:val="0"/>
                <w:bCs/>
                <w:color w:val="auto"/>
                <w:sz w:val="21"/>
                <w:szCs w:val="21"/>
              </w:rPr>
            </w:pPr>
          </w:p>
        </w:tc>
        <w:tc>
          <w:tcPr>
            <w:tcW w:w="981" w:type="pct"/>
            <w:vMerge w:val="continue"/>
            <w:noWrap w:val="0"/>
            <w:vAlign w:val="center"/>
          </w:tcPr>
          <w:p w14:paraId="64BED99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2607" w:type="pct"/>
            <w:noWrap w:val="0"/>
            <w:vAlign w:val="center"/>
          </w:tcPr>
          <w:p w14:paraId="425B2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因子</w:t>
            </w:r>
          </w:p>
        </w:tc>
        <w:tc>
          <w:tcPr>
            <w:tcW w:w="701" w:type="pct"/>
            <w:noWrap w:val="0"/>
            <w:vAlign w:val="center"/>
          </w:tcPr>
          <w:p w14:paraId="44F43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105" w:leftChars="-50" w:right="-105" w:rightChars="-50"/>
              <w:jc w:val="center"/>
              <w:textAlignment w:val="auto"/>
              <w:rPr>
                <w:rFonts w:hint="default"/>
                <w:color w:val="auto"/>
              </w:rPr>
            </w:pPr>
            <w:r>
              <w:rPr>
                <w:rFonts w:hint="eastAsia" w:ascii="Times New Roman" w:hAnsi="Times New Roman" w:cs="Times New Roman"/>
                <w:b/>
                <w:bCs/>
                <w:color w:val="auto"/>
                <w:sz w:val="21"/>
                <w:szCs w:val="21"/>
                <w:lang w:eastAsia="zh-CN"/>
              </w:rPr>
              <w:t>频次</w:t>
            </w:r>
          </w:p>
        </w:tc>
      </w:tr>
      <w:tr w14:paraId="34446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76" w:hRule="atLeast"/>
        </w:trPr>
        <w:tc>
          <w:tcPr>
            <w:tcW w:w="709" w:type="pct"/>
            <w:vMerge w:val="continue"/>
            <w:noWrap w:val="0"/>
            <w:vAlign w:val="center"/>
          </w:tcPr>
          <w:p w14:paraId="710275DB">
            <w:pPr>
              <w:keepNext w:val="0"/>
              <w:keepLines w:val="0"/>
              <w:suppressLineNumbers w:val="0"/>
              <w:spacing w:before="0" w:beforeAutospacing="0" w:after="0" w:afterAutospacing="0" w:line="340" w:lineRule="atLeast"/>
              <w:ind w:left="0" w:right="0"/>
              <w:jc w:val="center"/>
              <w:rPr>
                <w:rFonts w:hint="default" w:ascii="Times New Roman" w:hAnsi="Times New Roman" w:cs="Times New Roman"/>
                <w:b w:val="0"/>
                <w:bCs/>
                <w:color w:val="auto"/>
                <w:sz w:val="21"/>
                <w:szCs w:val="21"/>
              </w:rPr>
            </w:pPr>
          </w:p>
        </w:tc>
        <w:tc>
          <w:tcPr>
            <w:tcW w:w="981" w:type="pct"/>
            <w:vMerge w:val="restart"/>
            <w:noWrap w:val="0"/>
            <w:vAlign w:val="center"/>
          </w:tcPr>
          <w:p w14:paraId="39D387F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1#井</w:t>
            </w:r>
            <w:r>
              <w:rPr>
                <w:rFonts w:hint="eastAsia" w:ascii="Times New Roman" w:hAnsi="Times New Roman" w:cs="Times New Roman"/>
                <w:color w:val="auto"/>
                <w:sz w:val="21"/>
                <w:szCs w:val="21"/>
                <w:lang w:val="en-US" w:eastAsia="zh-CN"/>
              </w:rPr>
              <w:t>、</w:t>
            </w:r>
          </w:p>
          <w:p w14:paraId="12BD254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2#井</w:t>
            </w:r>
          </w:p>
        </w:tc>
        <w:tc>
          <w:tcPr>
            <w:tcW w:w="2607" w:type="pct"/>
            <w:noWrap w:val="0"/>
            <w:vAlign w:val="center"/>
          </w:tcPr>
          <w:p w14:paraId="01374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
              </w:rPr>
              <w:t>色</w:t>
            </w:r>
            <w:r>
              <w:rPr>
                <w:rFonts w:hint="eastAsia" w:ascii="Times New Roman" w:hAnsi="Times New Roman" w:cs="Times New Roman"/>
                <w:color w:val="auto"/>
                <w:kern w:val="2"/>
                <w:sz w:val="21"/>
                <w:szCs w:val="21"/>
                <w:lang w:val="en-US" w:eastAsia="zh-CN" w:bidi="ar"/>
              </w:rPr>
              <w:t>度</w:t>
            </w:r>
            <w:r>
              <w:rPr>
                <w:rFonts w:hint="default" w:ascii="Times New Roman" w:hAnsi="Times New Roman" w:eastAsia="宋体" w:cs="Times New Roman"/>
                <w:color w:val="auto"/>
                <w:kern w:val="2"/>
                <w:sz w:val="21"/>
                <w:szCs w:val="21"/>
                <w:lang w:val="en-US" w:eastAsia="zh-CN" w:bidi="ar"/>
              </w:rPr>
              <w:t>、嗅和味、浑浊度、肉眼可见物、pH、铁、锰、铜、锌、铝、总硬度、溶解性总固体、硫酸盐、氯化物、挥发性酚类、阴离子表面活性剂、耗氧量</w:t>
            </w:r>
            <w:r>
              <w:rPr>
                <w:rFonts w:hint="eastAsia" w:ascii="Times New Roman" w:hAnsi="Times New Roman" w:cs="Times New Roman"/>
                <w:color w:val="auto"/>
                <w:kern w:val="2"/>
                <w:sz w:val="21"/>
                <w:szCs w:val="21"/>
                <w:lang w:val="en-US" w:eastAsia="zh-CN" w:bidi="ar"/>
              </w:rPr>
              <w:t>、氨氮、硫化物、钠、</w:t>
            </w:r>
            <w:r>
              <w:rPr>
                <w:rFonts w:hint="default" w:ascii="Times New Roman" w:hAnsi="Times New Roman" w:eastAsia="宋体" w:cs="Times New Roman"/>
                <w:color w:val="auto"/>
                <w:kern w:val="2"/>
                <w:sz w:val="21"/>
                <w:szCs w:val="21"/>
                <w:lang w:val="en-US" w:eastAsia="zh-CN" w:bidi="ar"/>
              </w:rPr>
              <w:t>总大肠菌群、菌落总数、</w:t>
            </w:r>
            <w:r>
              <w:rPr>
                <w:rFonts w:hint="default" w:ascii="Times New Roman" w:hAnsi="Times New Roman" w:cs="Times New Roman"/>
                <w:color w:val="auto"/>
                <w:kern w:val="2"/>
                <w:sz w:val="21"/>
                <w:szCs w:val="21"/>
                <w:lang w:val="en-US" w:eastAsia="zh-CN" w:bidi="ar"/>
              </w:rPr>
              <w:t>砷、镉、铬（六价）、铅、汞、硒、氰化物、氟化物、</w:t>
            </w:r>
            <w:r>
              <w:rPr>
                <w:rFonts w:hint="default" w:ascii="Times New Roman" w:hAnsi="Times New Roman" w:eastAsia="宋体" w:cs="Times New Roman"/>
                <w:color w:val="auto"/>
                <w:kern w:val="2"/>
                <w:sz w:val="21"/>
                <w:szCs w:val="21"/>
                <w:lang w:val="en-US" w:eastAsia="zh-CN" w:bidi="ar"/>
              </w:rPr>
              <w:t>硝酸盐</w:t>
            </w:r>
            <w:r>
              <w:rPr>
                <w:rFonts w:hint="default" w:ascii="Times New Roman" w:hAnsi="Times New Roman" w:cs="Times New Roman"/>
                <w:color w:val="auto"/>
                <w:kern w:val="2"/>
                <w:sz w:val="21"/>
                <w:szCs w:val="21"/>
                <w:lang w:val="en-US" w:eastAsia="zh-CN" w:bidi="ar"/>
              </w:rPr>
              <w:t>、</w:t>
            </w:r>
            <w:r>
              <w:rPr>
                <w:rFonts w:hint="eastAsia" w:ascii="Times New Roman" w:hAnsi="Times New Roman" w:cs="Times New Roman"/>
                <w:color w:val="auto"/>
                <w:kern w:val="2"/>
                <w:sz w:val="21"/>
                <w:szCs w:val="21"/>
                <w:lang w:val="en-US" w:eastAsia="zh-CN" w:bidi="ar"/>
              </w:rPr>
              <w:t>亚硝酸盐、碘化物、</w:t>
            </w:r>
            <w:r>
              <w:rPr>
                <w:rFonts w:hint="default" w:ascii="Times New Roman" w:hAnsi="Times New Roman" w:cs="Times New Roman"/>
                <w:color w:val="auto"/>
                <w:kern w:val="2"/>
                <w:sz w:val="21"/>
                <w:szCs w:val="21"/>
                <w:lang w:val="en-US" w:eastAsia="zh-CN" w:bidi="ar"/>
              </w:rPr>
              <w:t>三氯甲烷、四氯化碳</w:t>
            </w:r>
            <w:r>
              <w:rPr>
                <w:rFonts w:hint="eastAsia" w:ascii="Times New Roman" w:hAnsi="Times New Roman" w:cs="Times New Roman"/>
                <w:color w:val="auto"/>
                <w:kern w:val="2"/>
                <w:sz w:val="21"/>
                <w:szCs w:val="21"/>
                <w:lang w:val="en-US" w:eastAsia="zh-CN" w:bidi="ar"/>
              </w:rPr>
              <w:t>、苯、甲苯、</w:t>
            </w:r>
            <w:r>
              <w:rPr>
                <w:rFonts w:hint="default" w:ascii="Times New Roman" w:hAnsi="Times New Roman" w:cs="Times New Roman"/>
                <w:color w:val="auto"/>
                <w:kern w:val="2"/>
                <w:sz w:val="21"/>
                <w:szCs w:val="21"/>
                <w:lang w:val="en-US" w:eastAsia="zh-CN" w:bidi="ar"/>
              </w:rPr>
              <w:t>总α放射性、总β放射性</w:t>
            </w:r>
            <w:r>
              <w:rPr>
                <w:rFonts w:hint="eastAsia" w:ascii="Times New Roman" w:hAnsi="Times New Roman" w:cs="Times New Roman"/>
                <w:color w:val="auto"/>
                <w:kern w:val="2"/>
                <w:sz w:val="21"/>
                <w:szCs w:val="21"/>
                <w:lang w:val="en-US" w:eastAsia="zh-CN" w:bidi="ar"/>
              </w:rPr>
              <w:t>，共39项</w:t>
            </w:r>
          </w:p>
        </w:tc>
        <w:tc>
          <w:tcPr>
            <w:tcW w:w="701" w:type="pct"/>
            <w:noWrap w:val="0"/>
            <w:vAlign w:val="center"/>
          </w:tcPr>
          <w:p w14:paraId="096CB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olor w:val="auto"/>
              </w:rPr>
            </w:pPr>
            <w:r>
              <w:rPr>
                <w:rFonts w:hint="eastAsia" w:ascii="Times New Roman" w:hAnsi="Times New Roman" w:cs="Times New Roman"/>
                <w:color w:val="auto"/>
                <w:kern w:val="2"/>
                <w:sz w:val="21"/>
                <w:szCs w:val="21"/>
                <w:lang w:val="en-US" w:eastAsia="zh-CN" w:bidi="ar"/>
              </w:rPr>
              <w:t>1次/半年</w:t>
            </w:r>
          </w:p>
        </w:tc>
      </w:tr>
      <w:tr w14:paraId="253A3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1" w:hRule="atLeast"/>
        </w:trPr>
        <w:tc>
          <w:tcPr>
            <w:tcW w:w="709" w:type="pct"/>
            <w:vMerge w:val="continue"/>
            <w:noWrap w:val="0"/>
            <w:vAlign w:val="center"/>
          </w:tcPr>
          <w:p w14:paraId="4E52A8CA">
            <w:pPr>
              <w:keepNext w:val="0"/>
              <w:keepLines w:val="0"/>
              <w:suppressLineNumbers w:val="0"/>
              <w:spacing w:before="0" w:beforeAutospacing="0" w:after="0" w:afterAutospacing="0" w:line="340" w:lineRule="atLeast"/>
              <w:ind w:left="0" w:right="0"/>
              <w:jc w:val="center"/>
              <w:rPr>
                <w:rFonts w:hint="default" w:ascii="Times New Roman" w:hAnsi="Times New Roman" w:cs="Times New Roman"/>
                <w:b w:val="0"/>
                <w:bCs/>
                <w:color w:val="auto"/>
                <w:sz w:val="21"/>
                <w:szCs w:val="21"/>
              </w:rPr>
            </w:pPr>
            <w:bookmarkStart w:id="98" w:name="_Toc513189390"/>
            <w:bookmarkStart w:id="99" w:name="_Toc42592587"/>
          </w:p>
        </w:tc>
        <w:tc>
          <w:tcPr>
            <w:tcW w:w="981" w:type="pct"/>
            <w:vMerge w:val="continue"/>
            <w:noWrap w:val="0"/>
            <w:vAlign w:val="center"/>
          </w:tcPr>
          <w:p w14:paraId="25E57A5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2607" w:type="pct"/>
            <w:noWrap w:val="0"/>
            <w:vAlign w:val="center"/>
          </w:tcPr>
          <w:p w14:paraId="08883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非常规45项</w:t>
            </w:r>
          </w:p>
        </w:tc>
        <w:tc>
          <w:tcPr>
            <w:tcW w:w="701" w:type="pct"/>
            <w:noWrap w:val="0"/>
            <w:vAlign w:val="center"/>
          </w:tcPr>
          <w:p w14:paraId="734C4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1次/年</w:t>
            </w:r>
          </w:p>
        </w:tc>
      </w:tr>
    </w:tbl>
    <w:p w14:paraId="4FBD8646">
      <w:pPr>
        <w:keepNext/>
        <w:keepLines/>
        <w:widowControl w:val="0"/>
        <w:spacing w:before="260" w:after="26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100" w:name="_Toc6962"/>
      <w:r>
        <w:rPr>
          <w:rFonts w:hint="default" w:ascii="Times New Roman" w:hAnsi="Times New Roman" w:eastAsia="宋体" w:cs="Times New Roman"/>
          <w:b/>
          <w:bCs/>
          <w:color w:val="auto"/>
          <w:kern w:val="2"/>
          <w:sz w:val="30"/>
          <w:szCs w:val="32"/>
          <w:lang w:val="en-US" w:eastAsia="zh-CN" w:bidi="ar-SA"/>
        </w:rPr>
        <w:t>4.3饮用水水源保护区的环境管理</w:t>
      </w:r>
      <w:bookmarkEnd w:id="98"/>
      <w:bookmarkEnd w:id="99"/>
      <w:bookmarkEnd w:id="100"/>
    </w:p>
    <w:p w14:paraId="39599E9D">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4.3.1 管理办法</w:t>
      </w:r>
    </w:p>
    <w:p w14:paraId="2A06A82B">
      <w:pPr>
        <w:spacing w:beforeLines="0" w:afterLines="0"/>
        <w:jc w:val="left"/>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1</w:t>
      </w:r>
      <w:r>
        <w:rPr>
          <w:rFonts w:hint="default" w:ascii="Times New Roman" w:hAnsi="Times New Roman" w:eastAsia="宋体" w:cs="Times New Roman"/>
          <w:color w:val="auto"/>
          <w:sz w:val="28"/>
        </w:rPr>
        <w:t>）建立完善的环境管理体系</w:t>
      </w:r>
    </w:p>
    <w:p w14:paraId="149D09A8">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环境管理体系是组织、协调、管理和落实各项环境保护工作的前提和基础。</w:t>
      </w:r>
    </w:p>
    <w:p w14:paraId="7AA865FD">
      <w:pPr>
        <w:spacing w:beforeLines="0" w:afterLines="0"/>
        <w:jc w:val="left"/>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2</w:t>
      </w:r>
      <w:r>
        <w:rPr>
          <w:rFonts w:hint="default" w:ascii="Times New Roman" w:hAnsi="Times New Roman" w:eastAsia="宋体" w:cs="Times New Roman"/>
          <w:color w:val="auto"/>
          <w:sz w:val="28"/>
        </w:rPr>
        <w:t>）确定明确的环境管理目标</w:t>
      </w:r>
    </w:p>
    <w:p w14:paraId="03E13B95">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根据水源保护区有可能受到的不同污染，制定具有针对性的、切实可行的环境管理目标和任务。</w:t>
      </w:r>
    </w:p>
    <w:p w14:paraId="6CBF99CD">
      <w:pPr>
        <w:spacing w:beforeLines="0" w:afterLines="0"/>
        <w:jc w:val="left"/>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3</w:t>
      </w:r>
      <w:r>
        <w:rPr>
          <w:rFonts w:hint="default" w:ascii="Times New Roman" w:hAnsi="Times New Roman" w:eastAsia="宋体" w:cs="Times New Roman"/>
          <w:color w:val="auto"/>
          <w:sz w:val="28"/>
        </w:rPr>
        <w:t>）建立环境监测体系和制度</w:t>
      </w:r>
    </w:p>
    <w:p w14:paraId="14991520">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环境监测是环境管理的一部分，为及时了解水源地保护区的环境状况，需制定全面的环境监测制度并建立环境监测体系。</w:t>
      </w:r>
    </w:p>
    <w:p w14:paraId="415B8231">
      <w:pPr>
        <w:spacing w:beforeLines="0" w:afterLines="0"/>
        <w:jc w:val="left"/>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4</w:t>
      </w:r>
      <w:r>
        <w:rPr>
          <w:rFonts w:hint="default" w:ascii="Times New Roman" w:hAnsi="Times New Roman" w:eastAsia="宋体" w:cs="Times New Roman"/>
          <w:color w:val="auto"/>
          <w:sz w:val="28"/>
        </w:rPr>
        <w:t>）推行和完善环境保护工作制度</w:t>
      </w:r>
    </w:p>
    <w:p w14:paraId="73D1F008">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建议环境管理采取书面制度、报告制度。环境管理书面制度、报告制度可以使有关部门全面地掌握水源地保护区环境保护工作的进展情况，为领导及时发现环境违法事件提供依据；而且还使得环境保护进展的有关信息能够得到及时反馈，保证环境问题及时、彻底的解决。</w:t>
      </w:r>
    </w:p>
    <w:p w14:paraId="1268C7C2">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4.3.2 管理内容</w:t>
      </w:r>
    </w:p>
    <w:p w14:paraId="1D3888E0">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依据《中华人民共和国水污染防治法》，在饮用水水源保护区内，禁止设置排污口；禁止在饮用水水源一级保护区内新建、改建、扩建与供水设施和保护水源无关的建设项目；已建成的与供水设施和保护水源无关的建设项目，由县级以上人民政府责令拆除或者关闭。</w:t>
      </w:r>
    </w:p>
    <w:p w14:paraId="599691BE">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依据《饮用水水源保护区污染防治管理规定》，在一级保护区及准保护区内：禁止建设与取水设施无关的建筑物；禁止从事农牧业活动；禁止倾倒、堆放工业废渣及城市垃圾、粪便和其他有害废弃物；禁止输送污水的渠道、管道及输油管道通过本区；禁止设置油库；禁止建立墓地。加强饮用水水源地环境保护能力建设，主要包括环境应急能力建设（应急预案的编制，应急队伍的组建和培训，应急机制和制度的建立，应急装备、物资和资金的保障等）、环境管理能力建设（保护区基础设施建设、监督管理自身能力建设）两个方面，环境保护能力建设工程项目清单详见表</w:t>
      </w:r>
      <w:r>
        <w:rPr>
          <w:rFonts w:hint="default" w:ascii="Times New Roman" w:hAnsi="Times New Roman" w:eastAsia="TimesNewRomanPSMT" w:cs="Times New Roman"/>
          <w:color w:val="auto"/>
          <w:sz w:val="28"/>
        </w:rPr>
        <w:t>4.</w:t>
      </w:r>
      <w:r>
        <w:rPr>
          <w:rFonts w:hint="default" w:ascii="Times New Roman" w:hAnsi="Times New Roman" w:eastAsia="宋体" w:cs="Times New Roman"/>
          <w:color w:val="auto"/>
          <w:sz w:val="28"/>
          <w:lang w:val="en-US" w:eastAsia="zh-CN"/>
        </w:rPr>
        <w:t>3</w:t>
      </w:r>
      <w:r>
        <w:rPr>
          <w:rFonts w:hint="default" w:ascii="Times New Roman" w:hAnsi="Times New Roman" w:eastAsia="TimesNewRomanPSMT" w:cs="Times New Roman"/>
          <w:color w:val="auto"/>
          <w:sz w:val="28"/>
        </w:rPr>
        <w:t>-1</w:t>
      </w:r>
      <w:r>
        <w:rPr>
          <w:rFonts w:hint="default" w:ascii="Times New Roman" w:hAnsi="Times New Roman" w:eastAsia="宋体" w:cs="Times New Roman"/>
          <w:color w:val="auto"/>
          <w:sz w:val="28"/>
        </w:rPr>
        <w:t>。</w:t>
      </w:r>
    </w:p>
    <w:p w14:paraId="2BBAFD4B">
      <w:pPr>
        <w:spacing w:line="520" w:lineRule="exact"/>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eastAsia="zh-CN"/>
        </w:rPr>
        <w:t>表</w:t>
      </w:r>
      <w:r>
        <w:rPr>
          <w:rFonts w:hint="default" w:ascii="Times New Roman" w:hAnsi="Times New Roman" w:eastAsia="宋体" w:cs="Times New Roman"/>
          <w:b/>
          <w:color w:val="auto"/>
          <w:sz w:val="24"/>
          <w:szCs w:val="24"/>
          <w:lang w:val="en-US" w:eastAsia="zh-CN"/>
        </w:rPr>
        <w:t>4.3-1  饮用水水源地环境保护能力建设工程项目清单</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3523"/>
        <w:gridCol w:w="4077"/>
      </w:tblGrid>
      <w:tr w14:paraId="1C5D9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5" w:type="dxa"/>
            <w:tcBorders>
              <w:tl2br w:val="nil"/>
              <w:tr2bl w:val="nil"/>
            </w:tcBorders>
            <w:vAlign w:val="center"/>
          </w:tcPr>
          <w:p w14:paraId="57D45C9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3523" w:type="dxa"/>
            <w:tcBorders>
              <w:tl2br w:val="nil"/>
              <w:tr2bl w:val="nil"/>
            </w:tcBorders>
            <w:vAlign w:val="center"/>
          </w:tcPr>
          <w:p w14:paraId="763CACC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水源地保护工程</w:t>
            </w:r>
            <w:r>
              <w:rPr>
                <w:rFonts w:hint="default" w:ascii="Times New Roman" w:hAnsi="Times New Roman" w:eastAsia="宋体" w:cs="Times New Roman"/>
                <w:color w:val="auto"/>
                <w:sz w:val="21"/>
                <w:szCs w:val="21"/>
                <w:lang w:eastAsia="zh-CN"/>
              </w:rPr>
              <w:t>名称</w:t>
            </w:r>
          </w:p>
        </w:tc>
        <w:tc>
          <w:tcPr>
            <w:tcW w:w="4077" w:type="dxa"/>
            <w:tcBorders>
              <w:tl2br w:val="nil"/>
              <w:tr2bl w:val="nil"/>
            </w:tcBorders>
            <w:vAlign w:val="center"/>
          </w:tcPr>
          <w:p w14:paraId="265436A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工程简介及规模</w:t>
            </w:r>
          </w:p>
        </w:tc>
      </w:tr>
      <w:tr w14:paraId="6ED19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5" w:type="dxa"/>
            <w:tcBorders>
              <w:tl2br w:val="nil"/>
              <w:tr2bl w:val="nil"/>
            </w:tcBorders>
            <w:vAlign w:val="center"/>
          </w:tcPr>
          <w:p w14:paraId="3FB3045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3523" w:type="dxa"/>
            <w:tcBorders>
              <w:tl2br w:val="nil"/>
              <w:tr2bl w:val="nil"/>
            </w:tcBorders>
            <w:vAlign w:val="center"/>
          </w:tcPr>
          <w:p w14:paraId="3DEBBD1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环境应急能力建设</w:t>
            </w:r>
          </w:p>
        </w:tc>
        <w:tc>
          <w:tcPr>
            <w:tcW w:w="4077" w:type="dxa"/>
            <w:tcBorders>
              <w:tl2br w:val="nil"/>
              <w:tr2bl w:val="nil"/>
            </w:tcBorders>
            <w:vAlign w:val="center"/>
          </w:tcPr>
          <w:p w14:paraId="20D220A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水源地建立应急机制和制度、编制应急预案、组建应急队伍、配备应急装备，建立完善的饮用水源地环境应急体系</w:t>
            </w:r>
          </w:p>
        </w:tc>
      </w:tr>
      <w:tr w14:paraId="57A49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5" w:type="dxa"/>
            <w:tcBorders>
              <w:tl2br w:val="nil"/>
              <w:tr2bl w:val="nil"/>
            </w:tcBorders>
            <w:vAlign w:val="center"/>
          </w:tcPr>
          <w:p w14:paraId="562EC36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3523" w:type="dxa"/>
            <w:tcBorders>
              <w:tl2br w:val="nil"/>
              <w:tr2bl w:val="nil"/>
            </w:tcBorders>
            <w:vAlign w:val="center"/>
          </w:tcPr>
          <w:p w14:paraId="60E257D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环境管理能力</w:t>
            </w:r>
            <w:r>
              <w:rPr>
                <w:rFonts w:hint="default" w:ascii="Times New Roman" w:hAnsi="Times New Roman" w:eastAsia="宋体" w:cs="Times New Roman"/>
                <w:color w:val="auto"/>
                <w:sz w:val="21"/>
                <w:szCs w:val="21"/>
                <w:lang w:eastAsia="zh-CN"/>
              </w:rPr>
              <w:t>建设</w:t>
            </w:r>
          </w:p>
        </w:tc>
        <w:tc>
          <w:tcPr>
            <w:tcW w:w="4077" w:type="dxa"/>
            <w:tcBorders>
              <w:tl2br w:val="nil"/>
              <w:tr2bl w:val="nil"/>
            </w:tcBorders>
            <w:vAlign w:val="center"/>
          </w:tcPr>
          <w:p w14:paraId="2BDC09D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水源管理单位的人员培训</w:t>
            </w:r>
          </w:p>
        </w:tc>
      </w:tr>
    </w:tbl>
    <w:p w14:paraId="13DECF8D">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根据《中华人民共和国水污染防治法》、《饮用水水源保护区污染防治管理规定》、《陕西省城市饮用水水源保护区环境保护条例》等法律法规要求，结合水源地保护区现状，制定水源地各级保护区管理措施，保护生态环境、保证水资源可持续利用，保障居民饮用水安全。</w:t>
      </w:r>
    </w:p>
    <w:p w14:paraId="0DBDFF91">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4.3.3 地下水一级保护区管理措施</w:t>
      </w:r>
    </w:p>
    <w:p w14:paraId="0FE9953A">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1</w:t>
      </w:r>
      <w:r>
        <w:rPr>
          <w:rFonts w:hint="default" w:ascii="Times New Roman" w:hAnsi="Times New Roman" w:eastAsia="宋体" w:cs="Times New Roman"/>
          <w:color w:val="auto"/>
          <w:sz w:val="28"/>
        </w:rPr>
        <w:t>）为防止人为活动对水源地的破坏，要求一级保护区实行清场，进行封闭管理，建设封闭围栏等工程措施，并在四周设置标志牌，实现封闭式管理。对一级保护区内的环境进行综合整治，对现有与供水和水源保护无关的建设项目应予以清理。</w:t>
      </w:r>
    </w:p>
    <w:p w14:paraId="269F6CFE">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2</w:t>
      </w:r>
      <w:r>
        <w:rPr>
          <w:rFonts w:hint="default" w:ascii="Times New Roman" w:hAnsi="Times New Roman" w:eastAsia="宋体" w:cs="Times New Roman"/>
          <w:color w:val="auto"/>
          <w:sz w:val="28"/>
        </w:rPr>
        <w:t>）禁止建设与供水设施和保护水源无关的项目；禁止利用渗坑、渗井、裂隙、溶洞等排放污水和其他废弃物；禁止利用储水层孔隙、裂隙、溶洞和废弃矿坑储存油类、放射性物质、有毒有害化学物品；禁止设置垃圾、粪便和易溶、有害废弃物的集中堆放场、转运站；禁止从事种植、养殖、游乐活动和建立墓地。法律法规规定的其它禁止污染水源水质的行为。</w:t>
      </w:r>
    </w:p>
    <w:p w14:paraId="3FB1D163">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3</w:t>
      </w:r>
      <w:r>
        <w:rPr>
          <w:rFonts w:hint="default" w:ascii="Times New Roman" w:hAnsi="Times New Roman" w:eastAsia="宋体" w:cs="Times New Roman"/>
          <w:color w:val="auto"/>
          <w:sz w:val="28"/>
        </w:rPr>
        <w:t>）</w:t>
      </w:r>
      <w:r>
        <w:rPr>
          <w:rFonts w:ascii="Times New Roman" w:hAnsi="Times New Roman"/>
          <w:color w:val="auto"/>
          <w:sz w:val="28"/>
        </w:rPr>
        <w:t>由生态环境</w:t>
      </w:r>
      <w:r>
        <w:rPr>
          <w:rFonts w:hint="eastAsia" w:ascii="Times New Roman" w:hAnsi="Times New Roman"/>
          <w:color w:val="auto"/>
          <w:sz w:val="28"/>
          <w:lang w:val="en-US" w:eastAsia="zh-CN"/>
        </w:rPr>
        <w:t>部门</w:t>
      </w:r>
      <w:r>
        <w:rPr>
          <w:rFonts w:ascii="Times New Roman" w:hAnsi="Times New Roman"/>
          <w:color w:val="auto"/>
          <w:sz w:val="28"/>
        </w:rPr>
        <w:t>牵头，协调</w:t>
      </w:r>
      <w:r>
        <w:rPr>
          <w:rFonts w:hint="eastAsia" w:ascii="Times New Roman" w:hAnsi="Times New Roman"/>
          <w:color w:val="auto"/>
          <w:sz w:val="28"/>
        </w:rPr>
        <w:t>住建</w:t>
      </w:r>
      <w:r>
        <w:rPr>
          <w:rFonts w:ascii="Times New Roman" w:hAnsi="Times New Roman"/>
          <w:color w:val="auto"/>
          <w:sz w:val="28"/>
        </w:rPr>
        <w:t>、水利、</w:t>
      </w:r>
      <w:r>
        <w:rPr>
          <w:rFonts w:hint="eastAsia" w:ascii="Times New Roman" w:hAnsi="Times New Roman"/>
          <w:color w:val="auto"/>
          <w:sz w:val="28"/>
        </w:rPr>
        <w:t>自然资源</w:t>
      </w:r>
      <w:r>
        <w:rPr>
          <w:rFonts w:ascii="Times New Roman" w:hAnsi="Times New Roman"/>
          <w:color w:val="auto"/>
          <w:sz w:val="28"/>
        </w:rPr>
        <w:t>、</w:t>
      </w:r>
      <w:r>
        <w:rPr>
          <w:rFonts w:hint="eastAsia" w:ascii="Times New Roman" w:hAnsi="Times New Roman"/>
          <w:color w:val="auto"/>
          <w:sz w:val="28"/>
        </w:rPr>
        <w:t>农林、畜牧</w:t>
      </w:r>
      <w:r>
        <w:rPr>
          <w:rFonts w:ascii="Times New Roman" w:hAnsi="Times New Roman"/>
          <w:color w:val="auto"/>
          <w:sz w:val="28"/>
        </w:rPr>
        <w:t>等部门，以召开专题会议等形式制定有关政策文件，对一级保护区内的土地利用实行统一管理，避免用地纠纷</w:t>
      </w:r>
      <w:r>
        <w:rPr>
          <w:rFonts w:hint="default" w:ascii="Times New Roman" w:hAnsi="Times New Roman" w:eastAsia="宋体" w:cs="Times New Roman"/>
          <w:color w:val="auto"/>
          <w:sz w:val="28"/>
        </w:rPr>
        <w:t>。</w:t>
      </w:r>
    </w:p>
    <w:p w14:paraId="33B98543">
      <w:pPr>
        <w:pStyle w:val="10"/>
        <w:rPr>
          <w:rFonts w:hint="eastAsia" w:ascii="Times New Roman" w:hAnsi="Times New Roman" w:eastAsia="宋体" w:cs="Times New Roman"/>
          <w:color w:val="auto"/>
          <w:kern w:val="2"/>
          <w:sz w:val="28"/>
          <w:szCs w:val="22"/>
          <w:lang w:val="en-US" w:eastAsia="zh-CN" w:bidi="ar-SA"/>
        </w:rPr>
      </w:pP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4</w:t>
      </w:r>
      <w:r>
        <w:rPr>
          <w:rFonts w:hint="eastAsia" w:ascii="Times New Roman" w:hAnsi="Times New Roman" w:cs="Times New Roman"/>
          <w:color w:val="auto"/>
          <w:sz w:val="28"/>
          <w:lang w:eastAsia="zh-CN"/>
        </w:rPr>
        <w:t>）</w:t>
      </w:r>
      <w:r>
        <w:rPr>
          <w:rFonts w:hint="eastAsia" w:ascii="Times New Roman" w:hAnsi="Times New Roman" w:eastAsia="宋体" w:cs="Times New Roman"/>
          <w:color w:val="auto"/>
          <w:kern w:val="2"/>
          <w:sz w:val="28"/>
          <w:szCs w:val="22"/>
          <w:lang w:val="en-US" w:eastAsia="zh-CN" w:bidi="ar-SA"/>
        </w:rPr>
        <w:t>禁止在饮用水水源准保护区内新建、扩建对水体污染严重的建设项目</w:t>
      </w:r>
      <w:r>
        <w:rPr>
          <w:rFonts w:hint="eastAsia" w:ascii="Times New Roman" w:hAnsi="Times New Roman" w:cs="Times New Roman"/>
          <w:color w:val="auto"/>
          <w:kern w:val="2"/>
          <w:sz w:val="28"/>
          <w:szCs w:val="22"/>
          <w:lang w:val="en-US" w:eastAsia="zh-CN" w:bidi="ar-SA"/>
        </w:rPr>
        <w:t>；</w:t>
      </w:r>
      <w:r>
        <w:rPr>
          <w:rFonts w:hint="eastAsia" w:ascii="Times New Roman" w:hAnsi="Times New Roman" w:eastAsia="宋体" w:cs="Times New Roman"/>
          <w:color w:val="auto"/>
          <w:kern w:val="2"/>
          <w:sz w:val="28"/>
          <w:szCs w:val="22"/>
          <w:lang w:val="en-US" w:eastAsia="zh-CN" w:bidi="ar-SA"/>
        </w:rPr>
        <w:t>改建建设项目，不得增加排污量。</w:t>
      </w:r>
    </w:p>
    <w:p w14:paraId="1EF1C1F6">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eastAsia" w:ascii="Times New Roman" w:hAnsi="Times New Roman" w:cs="Times New Roman"/>
          <w:color w:val="auto"/>
          <w:sz w:val="28"/>
          <w:lang w:val="en-US" w:eastAsia="zh-CN"/>
        </w:rPr>
        <w:t>西安市灞桥区</w:t>
      </w:r>
      <w:r>
        <w:rPr>
          <w:rFonts w:hint="eastAsia" w:ascii="Times New Roman" w:hAnsi="Times New Roman" w:eastAsia="宋体" w:cs="Times New Roman"/>
          <w:color w:val="auto"/>
          <w:sz w:val="28"/>
          <w:lang w:val="en-US" w:eastAsia="zh-CN"/>
        </w:rPr>
        <w:t>人民政府应当根据保护饮用水水源的实际需要，在准保护区内采取工程措施或者生态保护措施，防止水污染物直接排入饮用水水体，确保饮用水安全。</w:t>
      </w:r>
    </w:p>
    <w:p w14:paraId="6D945C31">
      <w:pPr>
        <w:keepNext/>
        <w:keepLines/>
        <w:widowControl w:val="0"/>
        <w:spacing w:before="260" w:after="26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101" w:name="_Toc28647"/>
      <w:r>
        <w:rPr>
          <w:rFonts w:hint="default" w:ascii="Times New Roman" w:hAnsi="Times New Roman" w:eastAsia="宋体" w:cs="Times New Roman"/>
          <w:b/>
          <w:bCs/>
          <w:color w:val="auto"/>
          <w:kern w:val="2"/>
          <w:sz w:val="30"/>
          <w:szCs w:val="32"/>
          <w:lang w:val="en-US" w:eastAsia="zh-CN" w:bidi="ar-SA"/>
        </w:rPr>
        <w:t>4.4 其他措施要求与建议</w:t>
      </w:r>
      <w:bookmarkEnd w:id="101"/>
    </w:p>
    <w:p w14:paraId="529BDDAC">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1</w:t>
      </w:r>
      <w:r>
        <w:rPr>
          <w:rFonts w:hint="default" w:ascii="Times New Roman" w:hAnsi="Times New Roman" w:eastAsia="宋体" w:cs="Times New Roman"/>
          <w:color w:val="auto"/>
          <w:sz w:val="28"/>
        </w:rPr>
        <w:t>）严格落实《陕西省城市饮用水水源保护区环境保护条例》等法律法规要求，水务、环保等部门应加强监督巡查力度，保护水源地生态环境安全。</w:t>
      </w:r>
    </w:p>
    <w:p w14:paraId="359CE0EE">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2</w:t>
      </w:r>
      <w:r>
        <w:rPr>
          <w:rFonts w:hint="default" w:ascii="Times New Roman" w:hAnsi="Times New Roman" w:eastAsia="宋体" w:cs="Times New Roman"/>
          <w:color w:val="auto"/>
          <w:sz w:val="28"/>
        </w:rPr>
        <w:t>）水源地保护区划定后，根据《饮用水水源保护区污染防治管理规定》，保护区及其周边的生产活动将受到较大的限制，应加大水源地环保宣传工作，加大水源地保护相关法律、法规的宣传力度，认真做好警示牌和宣传牌，强化水地标准化管理，让更多人了解水水源地保护区范围、水源供水能力、水源地水质等情况，发动群众做好水源地环境保护。</w:t>
      </w:r>
    </w:p>
    <w:p w14:paraId="5A5263E5">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3</w:t>
      </w:r>
      <w:r>
        <w:rPr>
          <w:rFonts w:hint="default" w:ascii="Times New Roman" w:hAnsi="Times New Roman" w:eastAsia="宋体" w:cs="Times New Roman"/>
          <w:color w:val="auto"/>
          <w:sz w:val="28"/>
        </w:rPr>
        <w:t>）建</w:t>
      </w:r>
      <w:r>
        <w:rPr>
          <w:rFonts w:hint="eastAsia" w:ascii="Times New Roman" w:hAnsi="Times New Roman" w:cs="Times New Roman"/>
          <w:color w:val="auto"/>
          <w:sz w:val="28"/>
          <w:lang w:eastAsia="zh-CN"/>
        </w:rPr>
        <w:t>全</w:t>
      </w:r>
      <w:r>
        <w:rPr>
          <w:rFonts w:hint="default" w:ascii="Times New Roman" w:hAnsi="Times New Roman" w:eastAsia="宋体" w:cs="Times New Roman"/>
          <w:color w:val="auto"/>
          <w:sz w:val="28"/>
        </w:rPr>
        <w:t>水源</w:t>
      </w:r>
      <w:r>
        <w:rPr>
          <w:rFonts w:hint="eastAsia" w:ascii="Times New Roman" w:hAnsi="Times New Roman" w:cs="Times New Roman"/>
          <w:color w:val="auto"/>
          <w:sz w:val="28"/>
          <w:lang w:eastAsia="zh-CN"/>
        </w:rPr>
        <w:t>地</w:t>
      </w:r>
      <w:r>
        <w:rPr>
          <w:rFonts w:hint="default" w:ascii="Times New Roman" w:hAnsi="Times New Roman" w:eastAsia="宋体" w:cs="Times New Roman"/>
          <w:color w:val="auto"/>
          <w:sz w:val="28"/>
        </w:rPr>
        <w:t>巡查</w:t>
      </w:r>
      <w:r>
        <w:rPr>
          <w:rFonts w:hint="eastAsia" w:ascii="Times New Roman" w:hAnsi="Times New Roman" w:cs="Times New Roman"/>
          <w:color w:val="auto"/>
          <w:sz w:val="28"/>
          <w:lang w:eastAsia="zh-CN"/>
        </w:rPr>
        <w:t>制度</w:t>
      </w:r>
      <w:r>
        <w:rPr>
          <w:rFonts w:hint="default" w:ascii="Times New Roman" w:hAnsi="Times New Roman" w:eastAsia="宋体" w:cs="Times New Roman"/>
          <w:color w:val="auto"/>
          <w:sz w:val="28"/>
        </w:rPr>
        <w:t>与</w:t>
      </w:r>
      <w:r>
        <w:rPr>
          <w:rFonts w:hint="eastAsia" w:ascii="Times New Roman" w:hAnsi="Times New Roman" w:cs="Times New Roman"/>
          <w:color w:val="auto"/>
          <w:sz w:val="28"/>
          <w:lang w:eastAsia="zh-CN"/>
        </w:rPr>
        <w:t>突发环境事件应急体系建设。</w:t>
      </w:r>
      <w:r>
        <w:rPr>
          <w:rFonts w:hint="default" w:ascii="Times New Roman" w:hAnsi="Times New Roman" w:eastAsia="宋体" w:cs="Times New Roman"/>
          <w:color w:val="auto"/>
          <w:sz w:val="28"/>
        </w:rPr>
        <w:t>建</w:t>
      </w:r>
      <w:r>
        <w:rPr>
          <w:rFonts w:hint="eastAsia" w:ascii="Times New Roman" w:hAnsi="Times New Roman" w:cs="Times New Roman"/>
          <w:color w:val="auto"/>
          <w:sz w:val="28"/>
          <w:lang w:eastAsia="zh-CN"/>
        </w:rPr>
        <w:t>全</w:t>
      </w:r>
      <w:r>
        <w:rPr>
          <w:rFonts w:hint="default" w:ascii="Times New Roman" w:hAnsi="Times New Roman" w:eastAsia="宋体" w:cs="Times New Roman"/>
          <w:color w:val="auto"/>
          <w:sz w:val="28"/>
        </w:rPr>
        <w:t>饮用水水源地定期巡查制度，发现问题及时上报、及时处理；建立饮用水水源地应急管理制度，完善饮用水水源污染预警、水质安全应急的饮用水水源应急保障体系，发生应用水水源污染事故等紧急状况时采取强制性应急措施，并上报上级相关部门。</w:t>
      </w:r>
    </w:p>
    <w:p w14:paraId="58C36039">
      <w:pPr>
        <w:keepNext w:val="0"/>
        <w:keepLines w:val="0"/>
        <w:pageBreakBefore w:val="0"/>
        <w:widowControl w:val="0"/>
        <w:kinsoku/>
        <w:wordWrap/>
        <w:overflowPunct/>
        <w:topLinePunct w:val="0"/>
        <w:autoSpaceDE/>
        <w:autoSpaceDN/>
        <w:bidi w:val="0"/>
        <w:adjustRightInd/>
        <w:snapToGrid/>
        <w:spacing w:beforeLines="0" w:afterLines="0" w:line="360" w:lineRule="auto"/>
        <w:ind w:firstLine="560" w:firstLineChars="200"/>
        <w:jc w:val="left"/>
        <w:textAlignment w:val="auto"/>
        <w:rPr>
          <w:rFonts w:hint="default" w:ascii="Times New Roman" w:hAnsi="Times New Roman" w:eastAsia="宋体" w:cs="Times New Roman"/>
          <w:color w:val="auto"/>
          <w:sz w:val="28"/>
          <w:lang w:val="en-US" w:eastAsia="zh-CN"/>
        </w:rPr>
      </w:pPr>
      <w:r>
        <w:rPr>
          <w:rFonts w:hint="default" w:ascii="Times New Roman" w:hAnsi="Times New Roman" w:eastAsia="宋体" w:cs="Times New Roman"/>
          <w:color w:val="auto"/>
          <w:sz w:val="28"/>
        </w:rPr>
        <w:t>（</w:t>
      </w:r>
      <w:r>
        <w:rPr>
          <w:rFonts w:hint="default" w:ascii="Times New Roman" w:hAnsi="Times New Roman" w:eastAsia="TimesNewRomanPSMT" w:cs="Times New Roman"/>
          <w:color w:val="auto"/>
          <w:sz w:val="28"/>
        </w:rPr>
        <w:t>4</w:t>
      </w:r>
      <w:r>
        <w:rPr>
          <w:rFonts w:hint="default" w:ascii="Times New Roman" w:hAnsi="Times New Roman" w:eastAsia="宋体" w:cs="Times New Roman"/>
          <w:color w:val="auto"/>
          <w:sz w:val="28"/>
        </w:rPr>
        <w:t>）水源地周边污染源</w:t>
      </w:r>
      <w:r>
        <w:rPr>
          <w:rFonts w:hint="eastAsia" w:ascii="Times New Roman" w:hAnsi="Times New Roman" w:cs="Times New Roman"/>
          <w:color w:val="auto"/>
          <w:sz w:val="28"/>
          <w:lang w:val="en-US" w:eastAsia="zh-CN"/>
        </w:rPr>
        <w:t>管理</w:t>
      </w:r>
      <w:r>
        <w:rPr>
          <w:rFonts w:hint="default" w:ascii="Times New Roman" w:hAnsi="Times New Roman" w:eastAsia="宋体" w:cs="Times New Roman"/>
          <w:color w:val="auto"/>
          <w:sz w:val="28"/>
        </w:rPr>
        <w:t>措施。严禁在水源地保护区范围内新建对水源地有可能产生污染的单位。建议加强对</w:t>
      </w:r>
      <w:r>
        <w:rPr>
          <w:rFonts w:hint="eastAsia" w:ascii="Times New Roman" w:hAnsi="Times New Roman" w:cs="Times New Roman"/>
          <w:color w:val="auto"/>
          <w:sz w:val="28"/>
          <w:lang w:eastAsia="zh-CN"/>
        </w:rPr>
        <w:t>西安市灞桥区狄寨街办狄寨村饮用水水源地</w:t>
      </w:r>
      <w:r>
        <w:rPr>
          <w:rFonts w:hint="default" w:ascii="Times New Roman" w:hAnsi="Times New Roman" w:eastAsia="宋体" w:cs="Times New Roman"/>
          <w:color w:val="auto"/>
          <w:sz w:val="28"/>
        </w:rPr>
        <w:t>及周边居民生产生活情况，工农业发展情况、污染源分布和环境隐患情况进行彻底清查和整改治理，强化饮用水水源地的监管。</w:t>
      </w:r>
      <w:r>
        <w:rPr>
          <w:rFonts w:hint="eastAsia" w:ascii="Times New Roman" w:hAnsi="Times New Roman" w:cs="Times New Roman"/>
          <w:color w:val="auto"/>
          <w:sz w:val="28"/>
          <w:lang w:val="en-US" w:eastAsia="zh-CN"/>
        </w:rPr>
        <w:t>加强村庄生活污水排放管理，禁止生活污水排入乡道两侧雨水沟；村道出入保护区范围设置交通警示牌，限制危险化学品的运输。</w:t>
      </w:r>
    </w:p>
    <w:p w14:paraId="47A603C2">
      <w:pPr>
        <w:pStyle w:val="10"/>
        <w:rPr>
          <w:rFonts w:hint="default"/>
          <w:color w:val="auto"/>
        </w:rPr>
      </w:pPr>
      <w:r>
        <w:rPr>
          <w:rFonts w:hint="eastAsia" w:ascii="Times New Roman" w:hAnsi="Times New Roman" w:eastAsia="宋体" w:cs="Times New Roman"/>
          <w:color w:val="auto"/>
          <w:kern w:val="2"/>
          <w:sz w:val="28"/>
          <w:szCs w:val="22"/>
          <w:lang w:val="en-US" w:eastAsia="zh-CN" w:bidi="ar-SA"/>
        </w:rPr>
        <w:t>（5）完善视频监控能力建设</w:t>
      </w:r>
      <w:r>
        <w:rPr>
          <w:rFonts w:hint="eastAsia" w:ascii="Times New Roman" w:hAnsi="Times New Roman" w:cs="Times New Roman"/>
          <w:color w:val="auto"/>
          <w:kern w:val="2"/>
          <w:sz w:val="28"/>
          <w:szCs w:val="22"/>
          <w:lang w:val="en-US" w:eastAsia="zh-CN" w:bidi="ar-SA"/>
        </w:rPr>
        <w:t>，要求按规范在一级保护区范围安装视频监控，视频监控系统与环保部门的监控系统平台实现数据共享</w:t>
      </w:r>
      <w:r>
        <w:rPr>
          <w:rFonts w:hint="eastAsia" w:ascii="Times New Roman" w:hAnsi="Times New Roman" w:eastAsia="宋体" w:cs="Times New Roman"/>
          <w:color w:val="auto"/>
          <w:kern w:val="2"/>
          <w:sz w:val="28"/>
          <w:szCs w:val="22"/>
          <w:lang w:val="en-US" w:eastAsia="zh-CN" w:bidi="ar-SA"/>
        </w:rPr>
        <w:t>。</w:t>
      </w:r>
    </w:p>
    <w:p w14:paraId="60DEBF21">
      <w:pPr>
        <w:keepNext/>
        <w:keepLines/>
        <w:widowControl w:val="0"/>
        <w:spacing w:before="260" w:after="26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102" w:name="_Toc1304"/>
      <w:r>
        <w:rPr>
          <w:rFonts w:hint="default" w:ascii="Times New Roman" w:hAnsi="Times New Roman" w:eastAsia="宋体" w:cs="Times New Roman"/>
          <w:b/>
          <w:bCs/>
          <w:color w:val="auto"/>
          <w:kern w:val="2"/>
          <w:sz w:val="30"/>
          <w:szCs w:val="32"/>
          <w:lang w:val="en-US" w:eastAsia="zh-CN" w:bidi="ar-SA"/>
        </w:rPr>
        <w:t>4.5保护区标志设置</w:t>
      </w:r>
      <w:bookmarkEnd w:id="102"/>
    </w:p>
    <w:p w14:paraId="2E30002B">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设立饮用水水源地保护区标志，是保护饮用水水源最大可能免受人类活动影响。保证水质安全的重要措施，应按照《饮用水水源保护区标志技术要求（HJ/T433-2008）》，有关规定设立，包括饮用水水源保护区的界标、交通警示牌、宣传牌。</w:t>
      </w:r>
    </w:p>
    <w:p w14:paraId="05189418">
      <w:pPr>
        <w:spacing w:line="600" w:lineRule="exact"/>
        <w:ind w:firstLine="562" w:firstLineChars="200"/>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（1）界标设置</w:t>
      </w:r>
    </w:p>
    <w:p w14:paraId="7A0F47B1">
      <w:pPr>
        <w:spacing w:line="600" w:lineRule="exact"/>
        <w:ind w:firstLine="562" w:firstLineChars="200"/>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①设立位置</w:t>
      </w:r>
    </w:p>
    <w:p w14:paraId="26FE78F5">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饮用水水源保护区界标的设立应充分考虑保护区地形、地标、地物的特点，一般设立于保护区陆域界线的顶点处，也可以结合水源地护栏围网等隔离防护工程设立界标，同时可根据环境管理在人群易见、活动处（如交叉路口，绿地休闲区等）设立界标。</w:t>
      </w:r>
    </w:p>
    <w:p w14:paraId="0F788B3F">
      <w:pPr>
        <w:spacing w:line="600" w:lineRule="exact"/>
        <w:ind w:firstLine="562" w:firstLineChars="200"/>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②界标内容</w:t>
      </w:r>
    </w:p>
    <w:p w14:paraId="759630C3">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界标正面的上方为饮用水水源保护区图形标。中下方书写饮用水水源保护区名称，如饮用水水源一级保护区等。下方为“监督管理电话：××××××”等监督管理方面的信息，监督管理电话为主管部门的电话。界标背面的上方用清晰、易懂的图形或文字说明划定的饮用水水源保护区范围，以标明保护区准确地理坐标和范围参数。中下方书写饮用水水源保护区具体的管理要求，并引用《中</w:t>
      </w:r>
      <w:r>
        <w:rPr>
          <w:rFonts w:hint="eastAsia" w:ascii="Times New Roman" w:hAnsi="Times New Roman" w:cs="Times New Roman"/>
          <w:color w:val="auto"/>
          <w:sz w:val="28"/>
          <w:szCs w:val="28"/>
          <w:lang w:val="en-US" w:eastAsia="zh-CN"/>
        </w:rPr>
        <w:t>华</w:t>
      </w:r>
      <w:r>
        <w:rPr>
          <w:rFonts w:hint="default" w:ascii="Times New Roman" w:hAnsi="Times New Roman" w:eastAsia="宋体" w:cs="Times New Roman"/>
          <w:color w:val="auto"/>
          <w:sz w:val="28"/>
          <w:szCs w:val="28"/>
        </w:rPr>
        <w:t>人民共和国水污染防治法》以及《饮用水水源保护区污染防治管理规定》中关于饮用水水源保护区的条款和内容。最下方靠右处书写“××政府××年设立”字样。各级保护区标志名称、内容、构造、制作及管理维护依据《饮用水水源保护区标志技术要求（HJ/T433</w:t>
      </w:r>
      <w:r>
        <w:rPr>
          <w:rFonts w:hint="default" w:ascii="Times New Roman" w:hAnsi="Times New Roman" w:cs="Times New Roman"/>
          <w:color w:val="auto"/>
          <w:sz w:val="28"/>
          <w:szCs w:val="28"/>
          <w:lang w:val="en-US" w:eastAsia="zh-CN"/>
        </w:rPr>
        <w:t>-2008</w:t>
      </w:r>
      <w:r>
        <w:rPr>
          <w:rFonts w:hint="default" w:ascii="Times New Roman" w:hAnsi="Times New Roman" w:eastAsia="宋体" w:cs="Times New Roman"/>
          <w:color w:val="auto"/>
          <w:sz w:val="28"/>
          <w:szCs w:val="28"/>
        </w:rPr>
        <w:t>）》有关规定。</w:t>
      </w:r>
    </w:p>
    <w:p w14:paraId="7D207554">
      <w:pPr>
        <w:widowControl/>
        <w:spacing w:after="0" w:line="240" w:lineRule="auto"/>
        <w:ind w:left="0" w:leftChars="0" w:firstLine="0" w:firstLineChars="0"/>
        <w:jc w:val="center"/>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drawing>
          <wp:inline distT="0" distB="0" distL="114300" distR="114300">
            <wp:extent cx="5337175" cy="2992120"/>
            <wp:effectExtent l="0" t="0" r="15875" b="177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5337175" cy="2992120"/>
                    </a:xfrm>
                    <a:prstGeom prst="rect">
                      <a:avLst/>
                    </a:prstGeom>
                    <a:noFill/>
                    <a:ln>
                      <a:noFill/>
                    </a:ln>
                  </pic:spPr>
                </pic:pic>
              </a:graphicData>
            </a:graphic>
          </wp:inline>
        </w:drawing>
      </w:r>
    </w:p>
    <w:p w14:paraId="2E016A43">
      <w:pPr>
        <w:spacing w:line="600" w:lineRule="exact"/>
        <w:ind w:firstLine="482"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图4.4-1   水源地保护区界标示意图</w:t>
      </w:r>
    </w:p>
    <w:p w14:paraId="70B4F600">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本次水源地划分一级保护区，涉及界标</w:t>
      </w:r>
      <w:r>
        <w:rPr>
          <w:rFonts w:hint="eastAsia" w:ascii="Times New Roman" w:hAnsi="Times New Roman" w:cs="Times New Roman"/>
          <w:color w:val="auto"/>
          <w:sz w:val="28"/>
          <w:szCs w:val="28"/>
          <w:lang w:val="en-US" w:eastAsia="zh-CN"/>
        </w:rPr>
        <w:t>2</w:t>
      </w:r>
      <w:r>
        <w:rPr>
          <w:rFonts w:hint="default" w:ascii="Times New Roman" w:hAnsi="Times New Roman" w:eastAsia="宋体" w:cs="Times New Roman"/>
          <w:color w:val="auto"/>
          <w:sz w:val="28"/>
          <w:szCs w:val="28"/>
        </w:rPr>
        <w:t>个，水源地保护区界标示意图见图4.4-1。</w:t>
      </w:r>
    </w:p>
    <w:p w14:paraId="57285252">
      <w:pPr>
        <w:spacing w:line="600" w:lineRule="exact"/>
        <w:ind w:firstLine="562" w:firstLineChars="200"/>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w:t>
      </w:r>
      <w:r>
        <w:rPr>
          <w:rFonts w:hint="default" w:ascii="Times New Roman" w:hAnsi="Times New Roman" w:cs="Times New Roman"/>
          <w:b/>
          <w:color w:val="auto"/>
          <w:sz w:val="28"/>
          <w:szCs w:val="28"/>
          <w:lang w:val="en-US" w:eastAsia="zh-CN"/>
        </w:rPr>
        <w:t>2</w:t>
      </w:r>
      <w:r>
        <w:rPr>
          <w:rFonts w:hint="default" w:ascii="Times New Roman" w:hAnsi="Times New Roman" w:eastAsia="宋体" w:cs="Times New Roman"/>
          <w:b/>
          <w:color w:val="auto"/>
          <w:sz w:val="28"/>
          <w:szCs w:val="28"/>
        </w:rPr>
        <w:t>）宣传牌</w:t>
      </w:r>
      <w:r>
        <w:rPr>
          <w:rFonts w:hint="eastAsia" w:ascii="Times New Roman" w:hAnsi="Times New Roman" w:cs="Times New Roman"/>
          <w:b/>
          <w:color w:val="auto"/>
          <w:sz w:val="28"/>
          <w:szCs w:val="28"/>
          <w:lang w:val="en-US" w:eastAsia="zh-CN"/>
        </w:rPr>
        <w:t>及交通警示标志</w:t>
      </w:r>
      <w:r>
        <w:rPr>
          <w:rFonts w:hint="default" w:ascii="Times New Roman" w:hAnsi="Times New Roman" w:eastAsia="宋体" w:cs="Times New Roman"/>
          <w:b/>
          <w:color w:val="auto"/>
          <w:sz w:val="28"/>
          <w:szCs w:val="28"/>
        </w:rPr>
        <w:t>设置</w:t>
      </w:r>
    </w:p>
    <w:p w14:paraId="19B59DF4">
      <w:pPr>
        <w:spacing w:line="600" w:lineRule="exact"/>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根据实际情况，在适当的位置设立宣传牌，当地政府可根据实际需求设计宣传牌上的图形和文字，如介绍当地饮用水水源保护区的地形地貌、保护现状、管理要求等。</w:t>
      </w:r>
      <w:r>
        <w:rPr>
          <w:rFonts w:hint="eastAsia" w:ascii="Times New Roman" w:hAnsi="Times New Roman" w:cs="Times New Roman"/>
          <w:color w:val="auto"/>
          <w:sz w:val="28"/>
          <w:szCs w:val="28"/>
          <w:lang w:val="en-US" w:eastAsia="zh-CN"/>
        </w:rPr>
        <w:t>交通警示牌是在车辆、行人进入饮用水水源保护区道路所设定的需谨慎驾驶和谨慎行为的标志，设置在保护区的道路进入点和驶出点。</w:t>
      </w:r>
    </w:p>
    <w:p w14:paraId="23760383">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宣传牌</w:t>
      </w:r>
      <w:r>
        <w:rPr>
          <w:rFonts w:hint="eastAsia" w:ascii="Times New Roman" w:hAnsi="Times New Roman" w:cs="Times New Roman"/>
          <w:color w:val="auto"/>
          <w:sz w:val="28"/>
          <w:szCs w:val="28"/>
          <w:lang w:val="en-US" w:eastAsia="zh-CN"/>
        </w:rPr>
        <w:t>及交通警示牌</w:t>
      </w:r>
      <w:r>
        <w:rPr>
          <w:rFonts w:hint="default" w:ascii="Times New Roman" w:hAnsi="Times New Roman" w:eastAsia="宋体" w:cs="Times New Roman"/>
          <w:color w:val="auto"/>
          <w:sz w:val="28"/>
          <w:szCs w:val="28"/>
        </w:rPr>
        <w:t>的设置应符合《公共信息导向系统-设置原则与要求》（GB/T15566）和《道路交通标志和标线》（GB 5768）的相关规定。</w:t>
      </w:r>
    </w:p>
    <w:p w14:paraId="418F7E66">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本次共设置宣传牌</w:t>
      </w:r>
      <w:r>
        <w:rPr>
          <w:rFonts w:hint="eastAsia" w:ascii="Times New Roman" w:hAnsi="Times New Roman" w:cs="Times New Roman"/>
          <w:color w:val="auto"/>
          <w:sz w:val="28"/>
          <w:szCs w:val="28"/>
          <w:lang w:val="en-US" w:eastAsia="zh-CN"/>
        </w:rPr>
        <w:t>2</w:t>
      </w:r>
      <w:r>
        <w:rPr>
          <w:rFonts w:hint="default" w:ascii="Times New Roman" w:hAnsi="Times New Roman" w:eastAsia="宋体" w:cs="Times New Roman"/>
          <w:color w:val="auto"/>
          <w:sz w:val="28"/>
          <w:szCs w:val="28"/>
        </w:rPr>
        <w:t>个。</w:t>
      </w:r>
    </w:p>
    <w:p w14:paraId="4F497F3D">
      <w:pPr>
        <w:keepNext/>
        <w:keepLines/>
        <w:widowControl w:val="0"/>
        <w:spacing w:before="260" w:after="26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103" w:name="_Toc3273"/>
      <w:r>
        <w:rPr>
          <w:rFonts w:hint="eastAsia" w:ascii="Times New Roman" w:hAnsi="Times New Roman" w:eastAsia="宋体" w:cs="Times New Roman"/>
          <w:b/>
          <w:bCs/>
          <w:color w:val="auto"/>
          <w:kern w:val="2"/>
          <w:sz w:val="30"/>
          <w:szCs w:val="32"/>
          <w:lang w:val="en-US" w:eastAsia="zh-CN" w:bidi="ar-SA"/>
        </w:rPr>
        <w:t>4.6水源保护区应急预案</w:t>
      </w:r>
      <w:bookmarkEnd w:id="103"/>
    </w:p>
    <w:p w14:paraId="4F54EF8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4.6.1</w:t>
      </w:r>
      <w:r>
        <w:rPr>
          <w:rFonts w:hint="default" w:ascii="Times New Roman" w:hAnsi="Times New Roman" w:eastAsia="宋体" w:cs="Times New Roman"/>
          <w:b/>
          <w:bCs/>
          <w:color w:val="auto"/>
          <w:sz w:val="24"/>
          <w:szCs w:val="24"/>
        </w:rPr>
        <w:t>编制原则</w:t>
      </w:r>
    </w:p>
    <w:p w14:paraId="2663F7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1</w:t>
      </w:r>
      <w:r>
        <w:rPr>
          <w:rFonts w:hint="eastAsia" w:ascii="宋体" w:hAnsi="宋体" w:eastAsia="宋体"/>
          <w:color w:val="auto"/>
          <w:sz w:val="24"/>
          <w:szCs w:val="24"/>
        </w:rPr>
        <w:t>）系统性原则</w:t>
      </w:r>
    </w:p>
    <w:p w14:paraId="7ABA4E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水源保护区应急预案应全面掌握和分析水源地的风险源信息、可能发生的突发环境事件情景和应急资源状况，逐一梳理明确各部门应对突发环境事件的工作职责、应急流程和任务分工，有效提升政府和有关部门的应急准备能力与应急处置能力。</w:t>
      </w:r>
    </w:p>
    <w:p w14:paraId="3FB1F1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2</w:t>
      </w:r>
      <w:r>
        <w:rPr>
          <w:rFonts w:hint="eastAsia" w:ascii="宋体" w:hAnsi="宋体" w:eastAsia="宋体"/>
          <w:color w:val="auto"/>
          <w:sz w:val="24"/>
          <w:szCs w:val="24"/>
        </w:rPr>
        <w:t>）针对性原则</w:t>
      </w:r>
    </w:p>
    <w:p w14:paraId="77E3F4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水源保护区应急预案应在全面调查和了解行政区域内水源地环境风险状况的基础上，针对不同类型的水源地、面临的不同环境风险，以及可能发生的突发环境事件情景，制定切实有效的应急处置措施。</w:t>
      </w:r>
    </w:p>
    <w:p w14:paraId="54BD52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3</w:t>
      </w:r>
      <w:r>
        <w:rPr>
          <w:rFonts w:hint="eastAsia" w:ascii="宋体" w:hAnsi="宋体" w:eastAsia="宋体"/>
          <w:color w:val="auto"/>
          <w:sz w:val="24"/>
          <w:szCs w:val="24"/>
        </w:rPr>
        <w:t>）协调性原则</w:t>
      </w:r>
    </w:p>
    <w:p w14:paraId="4B5754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水源保护区应急预案应作为市、县级人民政府突发事件应急预案编制体系的重要组成部分，水源地应急预案与行政区域内的企业突发环境事件应急预案、道路交通事故应急预案和城市供水系统重大事故应急预案等有机衔接。</w:t>
      </w:r>
    </w:p>
    <w:p w14:paraId="5B06F54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4.6.2</w:t>
      </w:r>
      <w:r>
        <w:rPr>
          <w:rFonts w:hint="default" w:ascii="Times New Roman" w:hAnsi="Times New Roman" w:eastAsia="宋体" w:cs="Times New Roman"/>
          <w:b/>
          <w:bCs/>
          <w:color w:val="auto"/>
          <w:sz w:val="24"/>
          <w:szCs w:val="24"/>
        </w:rPr>
        <w:t>可能发生的突发环境事件</w:t>
      </w:r>
    </w:p>
    <w:p w14:paraId="68FA79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1</w:t>
      </w:r>
      <w:r>
        <w:rPr>
          <w:rFonts w:hint="eastAsia" w:ascii="宋体" w:hAnsi="宋体" w:eastAsia="宋体"/>
          <w:color w:val="auto"/>
          <w:sz w:val="24"/>
          <w:szCs w:val="24"/>
        </w:rPr>
        <w:t>）固定源突发环境事件</w:t>
      </w:r>
    </w:p>
    <w:p w14:paraId="6177A7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可能发生突发环境事件的排放污染物企业事业单位，生产、储存、运输、使用危险化学品的企业，产生、收集、贮存、运输、利用、处置危险废物的企业，电站枢纽和发电设备的油类相关的操作造成的油泄漏后形成的溢油污染损害，以及尾矿库等固定源，因自然灾害、生产安全事故、违法排污等原因，导致水源地风险物质直接或间接排入水源保护区或其上游连接水体，造成水质污染的事件。</w:t>
      </w:r>
    </w:p>
    <w:p w14:paraId="41C057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2</w:t>
      </w:r>
      <w:r>
        <w:rPr>
          <w:rFonts w:hint="eastAsia" w:ascii="宋体" w:hAnsi="宋体" w:eastAsia="宋体"/>
          <w:color w:val="auto"/>
          <w:sz w:val="24"/>
          <w:szCs w:val="24"/>
        </w:rPr>
        <w:t>）流动源突发环境事件</w:t>
      </w:r>
    </w:p>
    <w:p w14:paraId="54CF0D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在公路或水路运输过程中，由于交通事故等原因，导致油品、化学品或其他有毒有害物质进入水源保护区或其上游连接水体，造成水质污染的事件。</w:t>
      </w:r>
    </w:p>
    <w:p w14:paraId="52F0B1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3</w:t>
      </w:r>
      <w:r>
        <w:rPr>
          <w:rFonts w:hint="eastAsia" w:ascii="宋体" w:hAnsi="宋体" w:eastAsia="宋体"/>
          <w:color w:val="auto"/>
          <w:sz w:val="24"/>
          <w:szCs w:val="24"/>
        </w:rPr>
        <w:t>）非点源突发环境事件</w:t>
      </w:r>
    </w:p>
    <w:p w14:paraId="023C02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lang w:eastAsia="zh-CN"/>
        </w:rPr>
      </w:pPr>
      <w:r>
        <w:rPr>
          <w:rFonts w:hint="eastAsia" w:ascii="宋体" w:hAnsi="宋体" w:eastAsia="宋体"/>
          <w:color w:val="auto"/>
          <w:sz w:val="24"/>
          <w:szCs w:val="24"/>
        </w:rPr>
        <w:t>暴雨冲刷畜禽养殖废物、农田或果园土壤，导致大量细菌、农药、化肥等随地表或地下径流进入水源保护区或其上游连接水体，造成水质污染的事件</w:t>
      </w:r>
      <w:r>
        <w:rPr>
          <w:rFonts w:hint="eastAsia" w:ascii="宋体" w:hAnsi="宋体" w:eastAsia="宋体"/>
          <w:color w:val="auto"/>
          <w:sz w:val="24"/>
          <w:szCs w:val="24"/>
          <w:lang w:eastAsia="zh-CN"/>
        </w:rPr>
        <w:t>。</w:t>
      </w:r>
    </w:p>
    <w:p w14:paraId="5545B4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4</w:t>
      </w:r>
      <w:r>
        <w:rPr>
          <w:rFonts w:hint="eastAsia" w:ascii="宋体" w:hAnsi="宋体" w:eastAsia="宋体"/>
          <w:color w:val="auto"/>
          <w:sz w:val="24"/>
          <w:szCs w:val="24"/>
        </w:rPr>
        <w:t>）其他事件</w:t>
      </w:r>
    </w:p>
    <w:p w14:paraId="7297F0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上述几种事件情景中一种或多种同时出现的情形。根据需要，还可考虑汛期、枯水期、雨雪冰冻等特殊时期可能造成水源地水质污染的情景。</w:t>
      </w:r>
    </w:p>
    <w:p w14:paraId="40FF0C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黑体" w:hAnsi="黑体" w:eastAsia="黑体"/>
          <w:color w:val="auto"/>
          <w:sz w:val="24"/>
          <w:szCs w:val="24"/>
        </w:rPr>
      </w:pPr>
      <w:r>
        <w:rPr>
          <w:rFonts w:hint="eastAsia" w:ascii="Times New Roman" w:hAnsi="Times New Roman" w:eastAsia="宋体"/>
          <w:color w:val="auto"/>
          <w:sz w:val="24"/>
          <w:szCs w:val="24"/>
          <w:lang w:val="en-US" w:eastAsia="zh-CN"/>
        </w:rPr>
        <w:t>4.6.3</w:t>
      </w:r>
      <w:r>
        <w:rPr>
          <w:rFonts w:hint="eastAsia" w:ascii="黑体" w:hAnsi="黑体" w:eastAsia="黑体"/>
          <w:color w:val="auto"/>
          <w:sz w:val="24"/>
          <w:szCs w:val="24"/>
        </w:rPr>
        <w:t>应急组织指挥体系</w:t>
      </w:r>
    </w:p>
    <w:p w14:paraId="073BE5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应急组织指挥体系由应急组织指挥机构和现场应急指挥部。根据突发环境事件影响程度和应急处置工作需要，还包括可能的外部应急救援力量，如上级或周边地区的市、县级人民政府及有关部门、专业应急组织、应急咨询或支援机构等。</w:t>
      </w:r>
    </w:p>
    <w:p w14:paraId="375671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市、县级人民政府应组织有关部门和单位成立水源地突发环境事件应急组织指挥机构，包括总指挥、副总指挥、协调办公室和专项工作组。</w:t>
      </w:r>
    </w:p>
    <w:p w14:paraId="1730CE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当信息研判和会商判断水源地水质可能受影响时，应立即成立现场应急指挥部。根据不同突发环境事件情景，可在应急组织指挥机构中选择有直接关系的部门和单位成立现场应急指挥部，全面负责指挥、组织和协调水源地突发环境事件的应急响应工作。</w:t>
      </w:r>
    </w:p>
    <w:p w14:paraId="24A7E8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现场应急工作组应包括应急处置组、应急监测组、应急供水保障组、应急物资保障组、应急专家组和综合组等。</w:t>
      </w:r>
    </w:p>
    <w:p w14:paraId="61C58A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黑体" w:hAnsi="黑体" w:eastAsia="黑体"/>
          <w:color w:val="auto"/>
          <w:sz w:val="24"/>
          <w:szCs w:val="24"/>
        </w:rPr>
      </w:pPr>
      <w:r>
        <w:rPr>
          <w:rFonts w:hint="eastAsia" w:ascii="Times New Roman" w:hAnsi="Times New Roman" w:eastAsia="宋体"/>
          <w:color w:val="auto"/>
          <w:sz w:val="24"/>
          <w:szCs w:val="24"/>
          <w:lang w:val="en-US" w:eastAsia="zh-CN"/>
        </w:rPr>
        <w:t>4.6.4</w:t>
      </w:r>
      <w:r>
        <w:rPr>
          <w:rFonts w:hint="eastAsia" w:ascii="黑体" w:hAnsi="黑体" w:eastAsia="黑体"/>
          <w:color w:val="auto"/>
          <w:sz w:val="24"/>
          <w:szCs w:val="24"/>
        </w:rPr>
        <w:t>应急响应</w:t>
      </w:r>
    </w:p>
    <w:p w14:paraId="3D2D67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1</w:t>
      </w:r>
      <w:r>
        <w:rPr>
          <w:rFonts w:hint="eastAsia" w:ascii="宋体" w:hAnsi="宋体" w:eastAsia="宋体"/>
          <w:color w:val="auto"/>
          <w:sz w:val="24"/>
          <w:szCs w:val="24"/>
        </w:rPr>
        <w:t>）信息收集与研判</w:t>
      </w:r>
    </w:p>
    <w:p w14:paraId="5A2670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通过流域、水源地或供水单位开展的水质监督性监测（常规断面）、在线监测（常规和预警监控断面）等日常监管渠道获取水质异常信息，也可以通过水文气象、地质灾害、污染源排放等信息开展水质预测预警，获取水质异常信息等途径获取水源地突发环境事件的信息，责任部门应第一时间开展工作：</w:t>
      </w:r>
    </w:p>
    <w:p w14:paraId="4352D6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1</w:t>
      </w:r>
      <w:r>
        <w:rPr>
          <w:rFonts w:hint="eastAsia" w:ascii="宋体" w:hAnsi="宋体" w:eastAsia="宋体"/>
          <w:color w:val="auto"/>
          <w:sz w:val="24"/>
          <w:szCs w:val="24"/>
        </w:rPr>
        <w:t>）核实信息的真实性；</w:t>
      </w:r>
    </w:p>
    <w:p w14:paraId="1D1233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2</w:t>
      </w:r>
      <w:r>
        <w:rPr>
          <w:rFonts w:hint="eastAsia" w:ascii="宋体" w:hAnsi="宋体" w:eastAsia="宋体"/>
          <w:color w:val="auto"/>
          <w:sz w:val="24"/>
          <w:szCs w:val="24"/>
        </w:rPr>
        <w:t>）进一步收集信息，必要时通报有关部门共同开展信息收集工作。</w:t>
      </w:r>
    </w:p>
    <w:p w14:paraId="02F3A2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3</w:t>
      </w:r>
      <w:r>
        <w:rPr>
          <w:rFonts w:hint="eastAsia" w:ascii="宋体" w:hAnsi="宋体" w:eastAsia="宋体"/>
          <w:color w:val="auto"/>
          <w:sz w:val="24"/>
          <w:szCs w:val="24"/>
        </w:rPr>
        <w:t>）将有关信息报告本级人民政府。</w:t>
      </w:r>
    </w:p>
    <w:p w14:paraId="1648CA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接到信息报告的人民政府应立即组织有关部门及应急专家进行会商，研判水质变化趋势，若判断可能对水源地水质造成影响，应立即成立现场应急指挥部。</w:t>
      </w:r>
    </w:p>
    <w:p w14:paraId="36C4A0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2</w:t>
      </w:r>
      <w:r>
        <w:rPr>
          <w:rFonts w:hint="eastAsia" w:ascii="宋体" w:hAnsi="宋体" w:eastAsia="宋体"/>
          <w:color w:val="auto"/>
          <w:sz w:val="24"/>
          <w:szCs w:val="24"/>
        </w:rPr>
        <w:t>）预警</w:t>
      </w:r>
    </w:p>
    <w:p w14:paraId="4FC09A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1</w:t>
      </w:r>
      <w:r>
        <w:rPr>
          <w:rFonts w:hint="eastAsia" w:ascii="宋体" w:hAnsi="宋体" w:eastAsia="宋体"/>
          <w:color w:val="auto"/>
          <w:sz w:val="24"/>
          <w:szCs w:val="24"/>
        </w:rPr>
        <w:t>）预警分级</w:t>
      </w:r>
    </w:p>
    <w:p w14:paraId="03F61E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水源地突发环境事件预警分级应与政府有关突发（水）环境事件应急预案的预警分级相互衔接。水源地应急预案实践中，可简化为橙色和红色两级预警，甚至红色一级预警。</w:t>
      </w:r>
    </w:p>
    <w:p w14:paraId="58A6F1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lang w:eastAsia="zh-CN"/>
        </w:rPr>
      </w:pPr>
      <w:r>
        <w:rPr>
          <w:rFonts w:hint="eastAsia" w:ascii="宋体" w:hAnsi="宋体" w:eastAsia="宋体"/>
          <w:color w:val="auto"/>
          <w:sz w:val="24"/>
          <w:szCs w:val="24"/>
        </w:rPr>
        <w:t>发布预警，即应采取预警行动或同时采取应急措施。一般发布橙色预警时，仅采取预警行动；发布红色预警时，在采取预警行动的同时，应启动应急措施。以橙色和红色两级预警为例，当污染物迁移至水源地应急预案适用的地域范围，但水源保护区或其连接水体尚未受到污染，或是污染物已进入水源保护区上游连接水体，但应急专家组研判认为对水源地水质影响可能较小、可能不影响取水时，为橙色预警；当污染物已进入（或出现在）水源保护区或其上游连接水体，且应急专家组研判认为对水源地水质影响可能较大时、可能影响取水时，为红色预警</w:t>
      </w:r>
      <w:r>
        <w:rPr>
          <w:rFonts w:hint="eastAsia" w:ascii="宋体" w:hAnsi="宋体" w:eastAsia="宋体"/>
          <w:color w:val="auto"/>
          <w:sz w:val="24"/>
          <w:szCs w:val="24"/>
          <w:lang w:eastAsia="zh-CN"/>
        </w:rPr>
        <w:t>。</w:t>
      </w:r>
    </w:p>
    <w:p w14:paraId="0D49E1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2</w:t>
      </w:r>
      <w:r>
        <w:rPr>
          <w:rFonts w:hint="eastAsia" w:ascii="宋体" w:hAnsi="宋体" w:eastAsia="宋体"/>
          <w:color w:val="auto"/>
          <w:sz w:val="24"/>
          <w:szCs w:val="24"/>
        </w:rPr>
        <w:t>）预警启动条件</w:t>
      </w:r>
    </w:p>
    <w:p w14:paraId="511FE0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综合考虑突发事件类型、发生地点、污染物质种类和数量等情况，制定不同级别预警的启动条件。</w:t>
      </w:r>
    </w:p>
    <w:p w14:paraId="583A27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以红色预警为例，下列情形均可作为预警启动条件。</w:t>
      </w:r>
    </w:p>
    <w:p w14:paraId="557C543C">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通过信息报告发现，在一级、二级保护区内发生突发环境事件。</w:t>
      </w:r>
    </w:p>
    <w:p w14:paraId="143AB6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b</w:t>
      </w:r>
      <w:r>
        <w:rPr>
          <w:rFonts w:hint="eastAsia" w:ascii="宋体" w:hAnsi="宋体" w:eastAsia="宋体"/>
          <w:color w:val="auto"/>
          <w:sz w:val="24"/>
          <w:szCs w:val="24"/>
        </w:rPr>
        <w:t>）通过信息报告发现，在二级保护区上游汇水区域</w:t>
      </w:r>
      <w:r>
        <w:rPr>
          <w:rFonts w:hint="eastAsia" w:ascii="Times New Roman" w:hAnsi="Times New Roman" w:eastAsia="Times New Roman"/>
          <w:color w:val="auto"/>
          <w:sz w:val="24"/>
          <w:szCs w:val="24"/>
        </w:rPr>
        <w:t>4</w:t>
      </w:r>
      <w:r>
        <w:rPr>
          <w:rFonts w:hint="eastAsia" w:ascii="宋体" w:hAnsi="宋体" w:eastAsia="宋体"/>
          <w:color w:val="auto"/>
          <w:sz w:val="24"/>
          <w:szCs w:val="24"/>
        </w:rPr>
        <w:t>小时流程范围内发生固定源或流动源突发环境事件，或污染物已扩散至距水源保护区上游连接水体的直线距离不足</w:t>
      </w:r>
      <w:r>
        <w:rPr>
          <w:rFonts w:hint="eastAsia" w:ascii="Times New Roman" w:hAnsi="Times New Roman" w:eastAsia="Times New Roman"/>
          <w:color w:val="auto"/>
          <w:sz w:val="24"/>
          <w:szCs w:val="24"/>
        </w:rPr>
        <w:t>100</w:t>
      </w:r>
      <w:r>
        <w:rPr>
          <w:rFonts w:hint="eastAsia" w:ascii="宋体" w:hAnsi="宋体" w:eastAsia="宋体"/>
          <w:color w:val="auto"/>
          <w:sz w:val="24"/>
          <w:szCs w:val="24"/>
        </w:rPr>
        <w:t>米的陆域或水域。</w:t>
      </w:r>
    </w:p>
    <w:p w14:paraId="0014B8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c</w:t>
      </w:r>
      <w:r>
        <w:rPr>
          <w:rFonts w:hint="eastAsia" w:ascii="宋体" w:hAnsi="宋体" w:eastAsia="宋体"/>
          <w:color w:val="auto"/>
          <w:sz w:val="24"/>
          <w:szCs w:val="24"/>
        </w:rPr>
        <w:t>）通过信息报告发现，在二级保护区上游汇水区域</w:t>
      </w:r>
      <w:r>
        <w:rPr>
          <w:rFonts w:hint="eastAsia" w:ascii="Times New Roman" w:hAnsi="Times New Roman" w:eastAsia="Times New Roman"/>
          <w:color w:val="auto"/>
          <w:sz w:val="24"/>
          <w:szCs w:val="24"/>
        </w:rPr>
        <w:t>8</w:t>
      </w:r>
      <w:r>
        <w:rPr>
          <w:rFonts w:hint="eastAsia" w:ascii="宋体" w:hAnsi="宋体" w:eastAsia="宋体"/>
          <w:color w:val="auto"/>
          <w:sz w:val="24"/>
          <w:szCs w:val="24"/>
        </w:rPr>
        <w:t>小时流程范围内发生固定源或流动源突发环境事件，或污染物已扩散至距水源保护区上游连接水体的直线距离不足</w:t>
      </w:r>
      <w:r>
        <w:rPr>
          <w:rFonts w:hint="eastAsia" w:ascii="Times New Roman" w:hAnsi="Times New Roman" w:eastAsia="Times New Roman"/>
          <w:color w:val="auto"/>
          <w:sz w:val="24"/>
          <w:szCs w:val="24"/>
        </w:rPr>
        <w:t>200</w:t>
      </w:r>
      <w:r>
        <w:rPr>
          <w:rFonts w:hint="eastAsia" w:ascii="宋体" w:hAnsi="宋体" w:eastAsia="宋体"/>
          <w:color w:val="auto"/>
          <w:sz w:val="24"/>
          <w:szCs w:val="24"/>
        </w:rPr>
        <w:t>米的陆域或水域，经水质监测和信息研判，判断污染物迁移至取水口位置时，相应指标浓度仍会超标的。</w:t>
      </w:r>
    </w:p>
    <w:p w14:paraId="3C43E6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d</w:t>
      </w:r>
      <w:r>
        <w:rPr>
          <w:rFonts w:hint="eastAsia" w:ascii="宋体" w:hAnsi="宋体" w:eastAsia="宋体"/>
          <w:color w:val="auto"/>
          <w:sz w:val="24"/>
          <w:szCs w:val="24"/>
        </w:rPr>
        <w:t>）通过监测发现，水源保护区或其上游连接水体理化指标异常。</w:t>
      </w:r>
    </w:p>
    <w:p w14:paraId="4DB3F7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①在二级保护区内，出现自动站水质监测指标超标或生物综合毒性异常，经实验室监（复）测确认的。</w:t>
      </w:r>
    </w:p>
    <w:p w14:paraId="019F19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②在二级保护区上游</w:t>
      </w:r>
      <w:r>
        <w:rPr>
          <w:rFonts w:hint="eastAsia" w:ascii="Times New Roman" w:hAnsi="Times New Roman" w:eastAsia="Times New Roman"/>
          <w:color w:val="auto"/>
          <w:sz w:val="24"/>
          <w:szCs w:val="24"/>
        </w:rPr>
        <w:t>8</w:t>
      </w:r>
      <w:r>
        <w:rPr>
          <w:rFonts w:hint="eastAsia" w:ascii="宋体" w:hAnsi="宋体" w:eastAsia="宋体"/>
          <w:color w:val="auto"/>
          <w:sz w:val="24"/>
          <w:szCs w:val="24"/>
        </w:rPr>
        <w:t>小时流程范围内，出现水质监测指标、有毒有害物质或生物综合毒性异常，且污染物浓度持续升高的。</w:t>
      </w:r>
    </w:p>
    <w:p w14:paraId="7FEC50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③在二级保护区上游</w:t>
      </w:r>
      <w:r>
        <w:rPr>
          <w:rFonts w:hint="eastAsia" w:ascii="Times New Roman" w:hAnsi="Times New Roman" w:eastAsia="Times New Roman"/>
          <w:color w:val="auto"/>
          <w:sz w:val="24"/>
          <w:szCs w:val="24"/>
        </w:rPr>
        <w:t>4</w:t>
      </w:r>
      <w:r>
        <w:rPr>
          <w:rFonts w:hint="eastAsia" w:ascii="宋体" w:hAnsi="宋体" w:eastAsia="宋体"/>
          <w:color w:val="auto"/>
          <w:sz w:val="24"/>
          <w:szCs w:val="24"/>
        </w:rPr>
        <w:t>小时流程范围内，出现水质监测指标、有毒有害物质或生物综合毒性异常的。</w:t>
      </w:r>
    </w:p>
    <w:p w14:paraId="7874D6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e</w:t>
      </w:r>
      <w:r>
        <w:rPr>
          <w:rFonts w:hint="eastAsia" w:ascii="宋体" w:hAnsi="宋体" w:eastAsia="宋体"/>
          <w:color w:val="auto"/>
          <w:sz w:val="24"/>
          <w:szCs w:val="24"/>
        </w:rPr>
        <w:t>）通过监测发现，水源保护区或其上游连接水体感官性状异常，即水体出现异常颜色或气味的。</w:t>
      </w:r>
    </w:p>
    <w:p w14:paraId="4EEFBA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f</w:t>
      </w:r>
      <w:r>
        <w:rPr>
          <w:rFonts w:hint="eastAsia" w:ascii="宋体" w:hAnsi="宋体" w:eastAsia="宋体"/>
          <w:color w:val="auto"/>
          <w:sz w:val="24"/>
          <w:szCs w:val="24"/>
        </w:rPr>
        <w:t>）通过监测发现，水源保护区或其上游连接水体生态指标异常，即水面出现大面积死鱼或生物综合毒性异常并经实验室监测后确认的。</w:t>
      </w:r>
    </w:p>
    <w:p w14:paraId="6D7792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3</w:t>
      </w:r>
      <w:r>
        <w:rPr>
          <w:rFonts w:hint="eastAsia" w:ascii="宋体" w:hAnsi="宋体" w:eastAsia="宋体"/>
          <w:color w:val="auto"/>
          <w:sz w:val="24"/>
          <w:szCs w:val="24"/>
        </w:rPr>
        <w:t>）发布预警和预警级别调整</w:t>
      </w:r>
    </w:p>
    <w:p w14:paraId="37CAB3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预警发布的对象，应主要针对组织实施预警行动和应急处置行动的部门和单位。</w:t>
      </w:r>
    </w:p>
    <w:p w14:paraId="4AFB49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预警信息发布后，可根据事态发展、采取措施的效果，适时调整预警级别并再次发布。</w:t>
      </w:r>
    </w:p>
    <w:p w14:paraId="515D8F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4</w:t>
      </w:r>
      <w:r>
        <w:rPr>
          <w:rFonts w:hint="eastAsia" w:ascii="宋体" w:hAnsi="宋体" w:eastAsia="宋体"/>
          <w:color w:val="auto"/>
          <w:sz w:val="24"/>
          <w:szCs w:val="24"/>
        </w:rPr>
        <w:t>）预警行动</w:t>
      </w:r>
    </w:p>
    <w:p w14:paraId="293406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预警行动包含但不限于以下内容：</w:t>
      </w:r>
    </w:p>
    <w:p w14:paraId="74F5E0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a</w:t>
      </w:r>
      <w:r>
        <w:rPr>
          <w:rFonts w:hint="eastAsia" w:ascii="宋体" w:hAnsi="宋体" w:eastAsia="宋体"/>
          <w:color w:val="auto"/>
          <w:sz w:val="24"/>
          <w:szCs w:val="24"/>
        </w:rPr>
        <w:t>）下达启动水源地应急预案的命令。</w:t>
      </w:r>
    </w:p>
    <w:p w14:paraId="32F39D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b</w:t>
      </w:r>
      <w:r>
        <w:rPr>
          <w:rFonts w:hint="eastAsia" w:ascii="宋体" w:hAnsi="宋体" w:eastAsia="宋体"/>
          <w:color w:val="auto"/>
          <w:sz w:val="24"/>
          <w:szCs w:val="24"/>
        </w:rPr>
        <w:t>）通知现场应急指挥部中的有关单位和人员做好应急准备，进入待命状态，必要时到达现场开展相关工作。</w:t>
      </w:r>
    </w:p>
    <w:p w14:paraId="2CD4AE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c</w:t>
      </w:r>
      <w:r>
        <w:rPr>
          <w:rFonts w:hint="eastAsia" w:ascii="宋体" w:hAnsi="宋体" w:eastAsia="宋体"/>
          <w:color w:val="auto"/>
          <w:sz w:val="24"/>
          <w:szCs w:val="24"/>
        </w:rPr>
        <w:t>）通知水源地对应的供水单位进入待命状态，做好停止取水、深度处理、低压供水或启动备用水源等准备。</w:t>
      </w:r>
    </w:p>
    <w:p w14:paraId="5B31CF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d</w:t>
      </w:r>
      <w:r>
        <w:rPr>
          <w:rFonts w:hint="eastAsia" w:ascii="宋体" w:hAnsi="宋体" w:eastAsia="宋体"/>
          <w:color w:val="auto"/>
          <w:sz w:val="24"/>
          <w:szCs w:val="24"/>
        </w:rPr>
        <w:t>）加强信息监控，核实突发环境事件污染来源、进入水体的污染物种类和总量、污染扩散范围等信息。</w:t>
      </w:r>
    </w:p>
    <w:p w14:paraId="56D492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e</w:t>
      </w:r>
      <w:r>
        <w:rPr>
          <w:rFonts w:hint="eastAsia" w:ascii="宋体" w:hAnsi="宋体" w:eastAsia="宋体"/>
          <w:color w:val="auto"/>
          <w:sz w:val="24"/>
          <w:szCs w:val="24"/>
        </w:rPr>
        <w:t>）开展应急监测或做好应急监测准备。</w:t>
      </w:r>
    </w:p>
    <w:p w14:paraId="78B7BD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f</w:t>
      </w:r>
      <w:r>
        <w:rPr>
          <w:rFonts w:hint="eastAsia" w:ascii="宋体" w:hAnsi="宋体" w:eastAsia="宋体"/>
          <w:color w:val="auto"/>
          <w:sz w:val="24"/>
          <w:szCs w:val="24"/>
        </w:rPr>
        <w:t>）做好事件信息上报和通报。</w:t>
      </w:r>
    </w:p>
    <w:p w14:paraId="2E82D3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g</w:t>
      </w:r>
      <w:r>
        <w:rPr>
          <w:rFonts w:hint="eastAsia" w:ascii="宋体" w:hAnsi="宋体" w:eastAsia="宋体"/>
          <w:color w:val="auto"/>
          <w:sz w:val="24"/>
          <w:szCs w:val="24"/>
        </w:rPr>
        <w:t>）调集所需应急物资和设备，做好应急保障。</w:t>
      </w:r>
    </w:p>
    <w:p w14:paraId="777AF4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h</w:t>
      </w:r>
      <w:r>
        <w:rPr>
          <w:rFonts w:hint="eastAsia" w:ascii="宋体" w:hAnsi="宋体" w:eastAsia="宋体"/>
          <w:color w:val="auto"/>
          <w:sz w:val="24"/>
          <w:szCs w:val="24"/>
        </w:rPr>
        <w:t>）在危险区域设置提示或警告标志。</w:t>
      </w:r>
    </w:p>
    <w:p w14:paraId="781199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i</w:t>
      </w:r>
      <w:r>
        <w:rPr>
          <w:rFonts w:hint="eastAsia" w:ascii="宋体" w:hAnsi="宋体" w:eastAsia="宋体"/>
          <w:color w:val="auto"/>
          <w:sz w:val="24"/>
          <w:szCs w:val="24"/>
        </w:rPr>
        <w:t>）必要时，及时通过媒体向公众发布信息。</w:t>
      </w:r>
    </w:p>
    <w:p w14:paraId="133F62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j</w:t>
      </w:r>
      <w:r>
        <w:rPr>
          <w:rFonts w:hint="eastAsia" w:ascii="宋体" w:hAnsi="宋体" w:eastAsia="宋体"/>
          <w:color w:val="auto"/>
          <w:sz w:val="24"/>
          <w:szCs w:val="24"/>
        </w:rPr>
        <w:t>）加强舆情监测、引导和应对工作。</w:t>
      </w:r>
    </w:p>
    <w:p w14:paraId="2A6C8F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5</w:t>
      </w:r>
      <w:r>
        <w:rPr>
          <w:rFonts w:hint="eastAsia" w:ascii="宋体" w:hAnsi="宋体" w:eastAsia="宋体"/>
          <w:color w:val="auto"/>
          <w:sz w:val="24"/>
          <w:szCs w:val="24"/>
        </w:rPr>
        <w:t>）预警解除</w:t>
      </w:r>
    </w:p>
    <w:p w14:paraId="308278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当判断危险已经解除时，由发布预警的责任单位宣布解除预警，终止已经采取的有关行动和措施。</w:t>
      </w:r>
    </w:p>
    <w:p w14:paraId="2B7995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黑体" w:hAnsi="黑体" w:eastAsia="黑体"/>
          <w:color w:val="auto"/>
          <w:sz w:val="24"/>
          <w:szCs w:val="24"/>
        </w:rPr>
      </w:pPr>
      <w:r>
        <w:rPr>
          <w:rFonts w:hint="eastAsia" w:ascii="Times New Roman" w:hAnsi="Times New Roman" w:eastAsia="宋体"/>
          <w:color w:val="auto"/>
          <w:sz w:val="24"/>
          <w:szCs w:val="24"/>
          <w:lang w:val="en-US" w:eastAsia="zh-CN"/>
        </w:rPr>
        <w:t>4.6.5</w:t>
      </w:r>
      <w:r>
        <w:rPr>
          <w:rFonts w:hint="eastAsia" w:ascii="黑体" w:hAnsi="黑体" w:eastAsia="黑体"/>
          <w:color w:val="auto"/>
          <w:sz w:val="24"/>
          <w:szCs w:val="24"/>
        </w:rPr>
        <w:t>信息报告与通报</w:t>
      </w:r>
    </w:p>
    <w:p w14:paraId="39E699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1</w:t>
      </w:r>
      <w:r>
        <w:rPr>
          <w:rFonts w:hint="eastAsia" w:ascii="宋体" w:hAnsi="宋体" w:eastAsia="宋体"/>
          <w:color w:val="auto"/>
          <w:sz w:val="24"/>
          <w:szCs w:val="24"/>
        </w:rPr>
        <w:t>）信息报告程序</w:t>
      </w:r>
    </w:p>
    <w:p w14:paraId="5E8754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1</w:t>
      </w:r>
      <w:r>
        <w:rPr>
          <w:rFonts w:hint="eastAsia" w:ascii="宋体" w:hAnsi="宋体" w:eastAsia="宋体"/>
          <w:color w:val="auto"/>
          <w:sz w:val="24"/>
          <w:szCs w:val="24"/>
        </w:rPr>
        <w:t>）发现已经造成或可能造成水源地污染的有关人员和责任单位，应按照有关规定立即向本级人民政府应急组织指挥机构及环境保护等部门报告。</w:t>
      </w:r>
    </w:p>
    <w:p w14:paraId="25DEDE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2</w:t>
      </w:r>
      <w:r>
        <w:rPr>
          <w:rFonts w:hint="eastAsia" w:ascii="宋体" w:hAnsi="宋体" w:eastAsia="宋体"/>
          <w:color w:val="auto"/>
          <w:sz w:val="24"/>
          <w:szCs w:val="24"/>
        </w:rPr>
        <w:t>）水源地突发环境事件发生地所属行政区域的市、县级人民政府有关部门在发现或得知水源地突发环境事件信息后，应立即进行核实，了解有关情况。经过核实后，第一时间向本级人民政府应急组织指挥机构和上级人民政府主管部门报告。</w:t>
      </w:r>
    </w:p>
    <w:p w14:paraId="55C045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3</w:t>
      </w:r>
      <w:r>
        <w:rPr>
          <w:rFonts w:hint="eastAsia" w:ascii="宋体" w:hAnsi="宋体" w:eastAsia="宋体"/>
          <w:color w:val="auto"/>
          <w:sz w:val="24"/>
          <w:szCs w:val="24"/>
        </w:rPr>
        <w:t>）上级人民政府主管部门先于下级人民政府主管部门获悉水源地突发环境事件信息的，可要求下级人民政府主管部门核实并报告相应信息。</w:t>
      </w:r>
    </w:p>
    <w:p w14:paraId="282406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4</w:t>
      </w:r>
      <w:r>
        <w:rPr>
          <w:rFonts w:hint="eastAsia" w:ascii="宋体" w:hAnsi="宋体" w:eastAsia="宋体"/>
          <w:color w:val="auto"/>
          <w:sz w:val="24"/>
          <w:szCs w:val="24"/>
        </w:rPr>
        <w:t>）特殊情况下，若遇到敏感事件或发生在重点地区、特殊时期，或可能演化为重大、特别重大突发环境事件的信息，有关责任单位和部门应立即向本级人民政府应急组织指挥机构报告。</w:t>
      </w:r>
    </w:p>
    <w:p w14:paraId="029651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2</w:t>
      </w:r>
      <w:r>
        <w:rPr>
          <w:rFonts w:hint="eastAsia" w:ascii="宋体" w:hAnsi="宋体" w:eastAsia="宋体"/>
          <w:color w:val="auto"/>
          <w:sz w:val="24"/>
          <w:szCs w:val="24"/>
        </w:rPr>
        <w:t>）信息通报程序</w:t>
      </w:r>
    </w:p>
    <w:p w14:paraId="400C62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对经核实的水源地突发环境事件，接报的有关部门应向本级人民政府和有关部门通报。水源地突发环境事件已经或可能影响相邻行政区域的，事件发生地人民政府及有关部门应及时通报相邻区域同级人民政府及有关部门。</w:t>
      </w:r>
    </w:p>
    <w:p w14:paraId="297EF0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3</w:t>
      </w:r>
      <w:r>
        <w:rPr>
          <w:rFonts w:hint="eastAsia" w:ascii="宋体" w:hAnsi="宋体" w:eastAsia="宋体"/>
          <w:color w:val="auto"/>
          <w:sz w:val="24"/>
          <w:szCs w:val="24"/>
        </w:rPr>
        <w:t>）信息报告和通报内容</w:t>
      </w:r>
    </w:p>
    <w:p w14:paraId="0D4838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水源地突发环境事件报告分为初报、续报和处理结果报告。初报是发现或得知突发环境事件后的首次报告；续报是查清有关基本情况、事件发展情况后的报告，可随时报告；处理结果报告是突发环境事件处理完毕后的报告。</w:t>
      </w:r>
    </w:p>
    <w:p w14:paraId="7A5BBC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4</w:t>
      </w:r>
      <w:r>
        <w:rPr>
          <w:rFonts w:hint="eastAsia" w:ascii="宋体" w:hAnsi="宋体" w:eastAsia="宋体"/>
          <w:color w:val="auto"/>
          <w:sz w:val="24"/>
          <w:szCs w:val="24"/>
        </w:rPr>
        <w:t>）事态研判</w:t>
      </w:r>
    </w:p>
    <w:p w14:paraId="1F94B0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发布预警后，一般由现场应急指挥部总指挥按照水源地应急预案中列明的副总指挥、协调办公室、专项工作组成员及名单，迅速组建参加应急指挥的各个工作组，跟踪开展事态研判。</w:t>
      </w:r>
    </w:p>
    <w:p w14:paraId="1BECD5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事态研判包括但不限于以下内容：事故点下游沿河水利设施工程情况、判断污染物进入河流的数量及种类性质、事故点下游水系分布（包括清洁水情况）、距离水源地取水口的距离和可能对水源地造成的危害，以及备用水源地情况。</w:t>
      </w:r>
    </w:p>
    <w:p w14:paraId="07E3FC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事态研判的结果，应作为制定和动态调整应急响应有关方案、实施应急监测、污染源排查与处置和应急处置的重要基础。</w:t>
      </w:r>
    </w:p>
    <w:p w14:paraId="433BC9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黑体" w:hAnsi="黑体" w:eastAsia="黑体"/>
          <w:color w:val="auto"/>
          <w:sz w:val="24"/>
          <w:szCs w:val="24"/>
        </w:rPr>
      </w:pPr>
      <w:r>
        <w:rPr>
          <w:rFonts w:hint="eastAsia" w:ascii="Times New Roman" w:hAnsi="Times New Roman" w:eastAsia="宋体"/>
          <w:color w:val="auto"/>
          <w:sz w:val="24"/>
          <w:szCs w:val="24"/>
          <w:lang w:val="en-US" w:eastAsia="zh-CN"/>
        </w:rPr>
        <w:t>4.6.6</w:t>
      </w:r>
      <w:r>
        <w:rPr>
          <w:rFonts w:hint="eastAsia" w:ascii="黑体" w:hAnsi="黑体" w:eastAsia="黑体"/>
          <w:color w:val="auto"/>
          <w:sz w:val="24"/>
          <w:szCs w:val="24"/>
        </w:rPr>
        <w:t>应急监测</w:t>
      </w:r>
    </w:p>
    <w:p w14:paraId="214CD3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1</w:t>
      </w:r>
      <w:r>
        <w:rPr>
          <w:rFonts w:hint="eastAsia" w:ascii="宋体" w:hAnsi="宋体" w:eastAsia="宋体"/>
          <w:color w:val="auto"/>
          <w:sz w:val="24"/>
          <w:szCs w:val="24"/>
        </w:rPr>
        <w:t>）应急监测程序</w:t>
      </w:r>
    </w:p>
    <w:p w14:paraId="58B7A2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事件处置初期，实施应急监测的部门应按照现场应急指挥部命令，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4809DB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事件处置中期，应根据事态发展，如上游来水量、应急处置措施效果等情况，适时调整监测点位（断面）和监测频次。</w:t>
      </w:r>
    </w:p>
    <w:p w14:paraId="0E4915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事件处置末期，应按照现场应急指挥部命令，停止应急监测，并向现场应急指挥部提交应急监测总结报告。</w:t>
      </w:r>
    </w:p>
    <w:p w14:paraId="2E6E77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eastAsia" w:ascii="宋体" w:hAnsi="宋体" w:eastAsia="宋体"/>
          <w:color w:val="auto"/>
          <w:sz w:val="24"/>
          <w:szCs w:val="24"/>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2</w:t>
      </w:r>
      <w:r>
        <w:rPr>
          <w:rFonts w:hint="eastAsia" w:ascii="宋体" w:hAnsi="宋体" w:eastAsia="宋体"/>
          <w:color w:val="auto"/>
          <w:sz w:val="24"/>
          <w:szCs w:val="24"/>
          <w:lang w:eastAsia="zh-CN"/>
        </w:rPr>
        <w:t>）</w:t>
      </w:r>
      <w:r>
        <w:rPr>
          <w:rFonts w:hint="eastAsia" w:ascii="宋体" w:hAnsi="宋体" w:eastAsia="宋体"/>
          <w:color w:val="auto"/>
          <w:sz w:val="24"/>
          <w:szCs w:val="24"/>
        </w:rPr>
        <w:t xml:space="preserve">应急监测方案 </w:t>
      </w:r>
    </w:p>
    <w:p w14:paraId="367A95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应急监测重点是抓住污染带前锋、峰值位置和浓度变化，对污染带移动过程形成动态监控。当污染来源不明时，应先通过应急监测确定特征污染物成份，再进行污染源排查和先期处置。</w:t>
      </w:r>
    </w:p>
    <w:p w14:paraId="798B6B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监测范围尽量涵盖水源地突发环境事件的污染范围，并包括事件可能影响区域和污染物本底浓度的监测区域。</w:t>
      </w:r>
    </w:p>
    <w:p w14:paraId="07CC39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以突发环境事件发生地点为中心或源头，结合水文和气象条件，在其扩散方向及可能受到影响的水源地位置合理布点，必要时在事故影响区域内水源取水口、农灌区取水口处设置监测点位（断面）。应采取不同点位（断面）相同间隔时间（一般为</w:t>
      </w:r>
      <w:r>
        <w:rPr>
          <w:rFonts w:hint="eastAsia" w:ascii="Times New Roman" w:hAnsi="Times New Roman" w:eastAsia="Times New Roman"/>
          <w:color w:val="auto"/>
          <w:sz w:val="24"/>
          <w:szCs w:val="24"/>
        </w:rPr>
        <w:t>1</w:t>
      </w:r>
      <w:r>
        <w:rPr>
          <w:rFonts w:hint="eastAsia" w:ascii="宋体" w:hAnsi="宋体" w:eastAsia="宋体"/>
          <w:color w:val="auto"/>
          <w:sz w:val="24"/>
          <w:szCs w:val="24"/>
        </w:rPr>
        <w:t>小时）同步采样监测方式，动态监控污染带移动过程。</w:t>
      </w:r>
    </w:p>
    <w:p w14:paraId="5143CA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现场采样量应同时满足快速监测、实验室监测和留样的需要。采样频次应考虑污染程度和现场水文条件，按照应急专家组的意见确定。</w:t>
      </w:r>
    </w:p>
    <w:p w14:paraId="3ECFE3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具备现场监测条件的监测项目，应尽量在现场监测。必要时，备份样品送实验室监（复）测，以确认现场定性或定量监测结果的准确性。</w:t>
      </w:r>
    </w:p>
    <w:p w14:paraId="473038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监测结果可用定性、半定量或定量方式报出。监测结果可采用电话、传真、快报、简报、监测报告等形式第一时间报告现场应急指挥部。</w:t>
      </w:r>
    </w:p>
    <w:p w14:paraId="47479B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黑体" w:hAnsi="黑体" w:eastAsia="黑体"/>
          <w:color w:val="auto"/>
          <w:sz w:val="24"/>
          <w:szCs w:val="24"/>
        </w:rPr>
      </w:pPr>
      <w:r>
        <w:rPr>
          <w:rFonts w:hint="eastAsia" w:ascii="Times New Roman" w:hAnsi="Times New Roman" w:eastAsia="宋体"/>
          <w:color w:val="auto"/>
          <w:sz w:val="24"/>
          <w:szCs w:val="24"/>
          <w:lang w:val="en-US" w:eastAsia="zh-CN"/>
        </w:rPr>
        <w:t>4.6.7</w:t>
      </w:r>
      <w:r>
        <w:rPr>
          <w:rFonts w:hint="eastAsia" w:ascii="黑体" w:hAnsi="黑体" w:eastAsia="黑体"/>
          <w:color w:val="auto"/>
          <w:sz w:val="24"/>
          <w:szCs w:val="24"/>
        </w:rPr>
        <w:t>污染源排查与处置</w:t>
      </w:r>
    </w:p>
    <w:p w14:paraId="6A9D3C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1</w:t>
      </w:r>
      <w:r>
        <w:rPr>
          <w:rFonts w:hint="eastAsia" w:ascii="宋体" w:hAnsi="宋体" w:eastAsia="宋体"/>
          <w:color w:val="auto"/>
          <w:sz w:val="24"/>
          <w:szCs w:val="24"/>
        </w:rPr>
        <w:t>）明确排查对象</w:t>
      </w:r>
    </w:p>
    <w:p w14:paraId="22CD46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14:paraId="445768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2</w:t>
      </w:r>
      <w:r>
        <w:rPr>
          <w:rFonts w:hint="eastAsia" w:ascii="宋体" w:hAnsi="宋体" w:eastAsia="宋体"/>
          <w:color w:val="auto"/>
          <w:sz w:val="24"/>
          <w:szCs w:val="24"/>
        </w:rPr>
        <w:t>）切断污染源</w:t>
      </w:r>
    </w:p>
    <w:p w14:paraId="37BE93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主要采取切断污染源、收集和围堵污染物等，包括但不限于以下内容。</w:t>
      </w:r>
    </w:p>
    <w:p w14:paraId="12FF73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1</w:t>
      </w:r>
      <w:r>
        <w:rPr>
          <w:rFonts w:hint="eastAsia" w:ascii="宋体" w:hAnsi="宋体" w:eastAsia="宋体"/>
          <w:color w:val="auto"/>
          <w:sz w:val="24"/>
          <w:szCs w:val="24"/>
        </w:rPr>
        <w:t>）对发生非正常排放或有毒有害物质泄漏的固定源突发环境事件，应尽快采取关闭、封堵、收集、转移等措施，切断污染源或泄漏源。</w:t>
      </w:r>
    </w:p>
    <w:p w14:paraId="251A38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Times New Roman"/>
          <w:color w:val="auto"/>
          <w:sz w:val="24"/>
          <w:szCs w:val="24"/>
        </w:rPr>
        <w:t>2</w:t>
      </w:r>
      <w:r>
        <w:rPr>
          <w:rFonts w:hint="eastAsia" w:ascii="宋体" w:hAnsi="宋体" w:eastAsia="宋体"/>
          <w:color w:val="auto"/>
          <w:sz w:val="24"/>
          <w:szCs w:val="24"/>
        </w:rPr>
        <w:t>）对道路交通运输过程中发生的流动源突发事件，可启动路面系统的导流槽、应急池或紧急设置围堰、闸坝等，对污染源进行围堵并收集污染物。</w:t>
      </w:r>
    </w:p>
    <w:p w14:paraId="0BD518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宋体"/>
          <w:color w:val="auto"/>
          <w:sz w:val="24"/>
          <w:szCs w:val="24"/>
          <w:lang w:val="en-US" w:eastAsia="zh-CN"/>
        </w:rPr>
        <w:t>3</w:t>
      </w:r>
      <w:r>
        <w:rPr>
          <w:rFonts w:hint="eastAsia" w:ascii="宋体" w:hAnsi="宋体" w:eastAsia="宋体"/>
          <w:color w:val="auto"/>
          <w:sz w:val="24"/>
          <w:szCs w:val="24"/>
        </w:rPr>
        <w:t>）启动应急收集系统集中收集陆域污染物，设立拦截设施，防止污染物在陆域漫延，组织有关部门对污染物进行回收处置。</w:t>
      </w:r>
    </w:p>
    <w:p w14:paraId="533271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Times New Roman" w:hAnsi="Times New Roman" w:eastAsia="宋体"/>
          <w:color w:val="auto"/>
          <w:sz w:val="24"/>
          <w:szCs w:val="24"/>
          <w:lang w:val="en-US" w:eastAsia="zh-CN"/>
        </w:rPr>
        <w:t>4</w:t>
      </w:r>
      <w:r>
        <w:rPr>
          <w:rFonts w:hint="eastAsia" w:ascii="宋体" w:hAnsi="宋体" w:eastAsia="宋体"/>
          <w:color w:val="auto"/>
          <w:sz w:val="24"/>
          <w:szCs w:val="24"/>
        </w:rPr>
        <w:t>）根据现场事态发展对扩散至水体的污染物进行处置。</w:t>
      </w:r>
    </w:p>
    <w:p w14:paraId="306CD6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黑体" w:hAnsi="黑体" w:eastAsia="黑体"/>
          <w:color w:val="auto"/>
          <w:sz w:val="24"/>
          <w:szCs w:val="24"/>
        </w:rPr>
      </w:pPr>
      <w:r>
        <w:rPr>
          <w:rFonts w:hint="eastAsia" w:ascii="Times New Roman" w:hAnsi="Times New Roman" w:eastAsia="宋体"/>
          <w:color w:val="auto"/>
          <w:sz w:val="24"/>
          <w:szCs w:val="24"/>
          <w:lang w:val="en-US" w:eastAsia="zh-CN"/>
        </w:rPr>
        <w:t>4.6.8</w:t>
      </w:r>
      <w:r>
        <w:rPr>
          <w:rFonts w:hint="eastAsia" w:ascii="黑体" w:hAnsi="黑体" w:eastAsia="黑体"/>
          <w:color w:val="auto"/>
          <w:sz w:val="24"/>
          <w:szCs w:val="24"/>
        </w:rPr>
        <w:t>应急处置</w:t>
      </w:r>
    </w:p>
    <w:p w14:paraId="5A3D57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1</w:t>
      </w:r>
      <w:r>
        <w:rPr>
          <w:rFonts w:hint="eastAsia" w:ascii="宋体" w:hAnsi="宋体" w:eastAsia="宋体"/>
          <w:color w:val="auto"/>
          <w:sz w:val="24"/>
          <w:szCs w:val="24"/>
        </w:rPr>
        <w:t>）制定现场处置方案</w:t>
      </w:r>
    </w:p>
    <w:p w14:paraId="3B6149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现场处置方案包括但不限于以下内容：应急监测、污染处置措施、物资调集、应急队伍和人员安排、供水单位应对等。</w:t>
      </w:r>
    </w:p>
    <w:p w14:paraId="0F11B3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2</w:t>
      </w:r>
      <w:r>
        <w:rPr>
          <w:rFonts w:hint="eastAsia" w:ascii="宋体" w:hAnsi="宋体" w:eastAsia="宋体"/>
          <w:color w:val="auto"/>
          <w:sz w:val="24"/>
          <w:szCs w:val="24"/>
        </w:rPr>
        <w:t>）供水安全保障</w:t>
      </w:r>
    </w:p>
    <w:p w14:paraId="5A044C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建立向供水单位通报应急监测信息制度，并在启动预警时第一时间通知供水单位。供水单位应根据污染物的种类、浓度、可能影响取水口的时间，及时采取深度处理、低压供水或启动备用水源等应急措施，并加强污染物监测，待水质满足取水要求时恢复取水和供水。无备用水源的，应使用应急供水车等设施保障居民用水。</w:t>
      </w:r>
    </w:p>
    <w:p w14:paraId="4F8D55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3</w:t>
      </w:r>
      <w:r>
        <w:rPr>
          <w:rFonts w:hint="eastAsia" w:ascii="宋体" w:hAnsi="宋体" w:eastAsia="宋体"/>
          <w:color w:val="auto"/>
          <w:sz w:val="24"/>
          <w:szCs w:val="24"/>
        </w:rPr>
        <w:t>）物资调集及应急设施启用</w:t>
      </w:r>
    </w:p>
    <w:p w14:paraId="24517F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根据应急物资调查结果，列明应急物资、装备和设施清单，以及调集、运输和使用方式。清单应包括物资、装备和设施的种类、名称、数量、存放位置、规格、性能、用途和用法等信息，还应明确应急物资、装备、设施的定期检查和维护要求。</w:t>
      </w:r>
    </w:p>
    <w:p w14:paraId="7827AA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黑体" w:hAnsi="黑体" w:eastAsia="黑体"/>
          <w:color w:val="auto"/>
          <w:sz w:val="24"/>
          <w:szCs w:val="24"/>
        </w:rPr>
      </w:pPr>
      <w:r>
        <w:rPr>
          <w:rFonts w:hint="eastAsia" w:ascii="Times New Roman" w:hAnsi="Times New Roman" w:eastAsia="宋体"/>
          <w:color w:val="auto"/>
          <w:sz w:val="24"/>
          <w:szCs w:val="24"/>
          <w:lang w:val="en-US" w:eastAsia="zh-CN"/>
        </w:rPr>
        <w:t>4.6.9</w:t>
      </w:r>
      <w:r>
        <w:rPr>
          <w:rFonts w:hint="eastAsia" w:ascii="黑体" w:hAnsi="黑体" w:eastAsia="黑体"/>
          <w:color w:val="auto"/>
          <w:sz w:val="24"/>
          <w:szCs w:val="24"/>
        </w:rPr>
        <w:t>舆情监测与信息发布</w:t>
      </w:r>
    </w:p>
    <w:p w14:paraId="46175A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现场应急指挥部在突发环境事件发生后，应第一时间向社会发布信息，并针对舆情及时发布事件原因、影响区域、已采取的措施及成效、公众应注意的防范措施、热线电话等。</w:t>
      </w:r>
    </w:p>
    <w:p w14:paraId="2002E7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黑体" w:hAnsi="黑体" w:eastAsia="黑体"/>
          <w:color w:val="auto"/>
          <w:sz w:val="24"/>
          <w:szCs w:val="24"/>
        </w:rPr>
      </w:pPr>
      <w:r>
        <w:rPr>
          <w:rFonts w:hint="eastAsia" w:ascii="Times New Roman" w:hAnsi="Times New Roman" w:eastAsia="Times New Roman"/>
          <w:color w:val="auto"/>
          <w:sz w:val="24"/>
          <w:szCs w:val="24"/>
        </w:rPr>
        <w:t xml:space="preserve">5.4.2.10 </w:t>
      </w:r>
      <w:r>
        <w:rPr>
          <w:rFonts w:hint="eastAsia" w:ascii="黑体" w:hAnsi="黑体" w:eastAsia="黑体"/>
          <w:color w:val="auto"/>
          <w:sz w:val="24"/>
          <w:szCs w:val="24"/>
        </w:rPr>
        <w:t>响应终止</w:t>
      </w:r>
    </w:p>
    <w:p w14:paraId="34F491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符合下列情形之一的，可终止应急响应。</w:t>
      </w:r>
    </w:p>
    <w:p w14:paraId="0046F238">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进入水源保护区陆域范围的污染物已成功围堵，且清运至水源保护区外，未向水域扩散时。</w:t>
      </w:r>
    </w:p>
    <w:p w14:paraId="5BEEAF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olor w:val="auto"/>
          <w:sz w:val="24"/>
          <w:szCs w:val="24"/>
        </w:rPr>
      </w:pPr>
      <w:r>
        <w:rPr>
          <w:rFonts w:hint="eastAsia" w:ascii="宋体" w:hAnsi="宋体" w:eastAsia="宋体"/>
          <w:color w:val="auto"/>
          <w:sz w:val="24"/>
          <w:szCs w:val="24"/>
        </w:rPr>
        <w:t>（</w:t>
      </w:r>
      <w:r>
        <w:rPr>
          <w:rFonts w:hint="eastAsia" w:ascii="Times New Roman" w:hAnsi="Times New Roman" w:eastAsia="Times New Roman"/>
          <w:color w:val="auto"/>
          <w:sz w:val="24"/>
          <w:szCs w:val="24"/>
        </w:rPr>
        <w:t>2</w:t>
      </w:r>
      <w:r>
        <w:rPr>
          <w:rFonts w:hint="eastAsia" w:ascii="宋体" w:hAnsi="宋体" w:eastAsia="宋体"/>
          <w:color w:val="auto"/>
          <w:sz w:val="24"/>
          <w:szCs w:val="24"/>
        </w:rPr>
        <w:t>）进入水源保护区水域范围的污染团已成功拦截或导流至水源保护区外，没有向取水口扩散的风险，且水质监测结果稳定达标。</w:t>
      </w:r>
    </w:p>
    <w:p w14:paraId="2A45F8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olor w:val="auto"/>
          <w:sz w:val="23"/>
          <w:szCs w:val="24"/>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olor w:val="auto"/>
          <w:sz w:val="24"/>
          <w:szCs w:val="24"/>
        </w:rPr>
        <w:t>（</w:t>
      </w:r>
      <w:r>
        <w:rPr>
          <w:rFonts w:hint="eastAsia" w:ascii="Times New Roman" w:hAnsi="Times New Roman" w:eastAsia="Times New Roman"/>
          <w:color w:val="auto"/>
          <w:sz w:val="24"/>
          <w:szCs w:val="24"/>
        </w:rPr>
        <w:t>3</w:t>
      </w:r>
      <w:r>
        <w:rPr>
          <w:rFonts w:hint="eastAsia" w:ascii="宋体" w:hAnsi="宋体" w:eastAsia="宋体"/>
          <w:color w:val="auto"/>
          <w:sz w:val="24"/>
          <w:szCs w:val="24"/>
        </w:rPr>
        <w:t>）水质监测结果尚未稳定达标，但根据应急专家组建议可恢复正常取水时。</w:t>
      </w:r>
    </w:p>
    <w:p w14:paraId="1AF2FE98">
      <w:pPr>
        <w:keepNext/>
        <w:keepLines/>
        <w:widowControl w:val="0"/>
        <w:spacing w:before="340" w:after="0" w:line="240" w:lineRule="atLeast"/>
        <w:jc w:val="center"/>
        <w:outlineLvl w:val="0"/>
        <w:rPr>
          <w:rFonts w:hint="default" w:ascii="Times New Roman" w:hAnsi="Times New Roman" w:eastAsia="宋体" w:cs="Times New Roman"/>
          <w:b/>
          <w:bCs/>
          <w:color w:val="auto"/>
          <w:kern w:val="44"/>
          <w:sz w:val="36"/>
          <w:szCs w:val="44"/>
          <w:lang w:val="en-US" w:eastAsia="zh-CN" w:bidi="ar-SA"/>
        </w:rPr>
      </w:pPr>
      <w:bookmarkStart w:id="104" w:name="_Toc32356"/>
      <w:bookmarkStart w:id="105" w:name="_Toc23640"/>
      <w:bookmarkStart w:id="106" w:name="_Toc42592588"/>
      <w:bookmarkStart w:id="107" w:name="_Toc513189391"/>
      <w:r>
        <w:rPr>
          <w:rFonts w:hint="default" w:ascii="Times New Roman" w:hAnsi="Times New Roman" w:eastAsia="宋体" w:cs="Times New Roman"/>
          <w:b/>
          <w:bCs/>
          <w:color w:val="auto"/>
          <w:kern w:val="44"/>
          <w:sz w:val="36"/>
          <w:szCs w:val="44"/>
          <w:lang w:val="en-US" w:eastAsia="zh-CN" w:bidi="ar-SA"/>
        </w:rPr>
        <w:t>五、饮用水水源保护区建设投资估算</w:t>
      </w:r>
      <w:bookmarkEnd w:id="104"/>
      <w:bookmarkEnd w:id="105"/>
      <w:bookmarkEnd w:id="106"/>
      <w:bookmarkEnd w:id="107"/>
    </w:p>
    <w:p w14:paraId="263BA0E0">
      <w:pPr>
        <w:keepNext/>
        <w:keepLines/>
        <w:widowControl w:val="0"/>
        <w:spacing w:before="260" w:after="26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108" w:name="_Toc17524"/>
      <w:bookmarkStart w:id="109" w:name="_Toc42592589"/>
      <w:bookmarkStart w:id="110" w:name="_Toc513189392"/>
      <w:r>
        <w:rPr>
          <w:rFonts w:hint="default" w:ascii="Times New Roman" w:hAnsi="Times New Roman" w:eastAsia="宋体" w:cs="Times New Roman"/>
          <w:b/>
          <w:bCs/>
          <w:color w:val="auto"/>
          <w:kern w:val="2"/>
          <w:sz w:val="30"/>
          <w:szCs w:val="32"/>
          <w:lang w:val="en-US" w:eastAsia="zh-CN" w:bidi="ar-SA"/>
        </w:rPr>
        <w:t>5.1投资估算</w:t>
      </w:r>
      <w:bookmarkEnd w:id="108"/>
      <w:bookmarkEnd w:id="109"/>
      <w:bookmarkEnd w:id="110"/>
      <w:r>
        <w:rPr>
          <w:rFonts w:hint="default" w:ascii="Times New Roman" w:hAnsi="Times New Roman" w:eastAsia="宋体" w:cs="Times New Roman"/>
          <w:b/>
          <w:bCs/>
          <w:color w:val="auto"/>
          <w:kern w:val="2"/>
          <w:sz w:val="30"/>
          <w:szCs w:val="32"/>
          <w:lang w:val="en-US" w:eastAsia="zh-CN" w:bidi="ar-SA"/>
        </w:rPr>
        <w:t xml:space="preserve"> </w:t>
      </w:r>
    </w:p>
    <w:p w14:paraId="6A4650E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sz w:val="28"/>
          <w:szCs w:val="28"/>
        </w:rPr>
      </w:pPr>
      <w:r>
        <w:rPr>
          <w:rFonts w:hint="default" w:ascii="Times New Roman" w:hAnsi="Times New Roman" w:cs="Times New Roman"/>
          <w:color w:val="auto"/>
          <w:sz w:val="28"/>
          <w:szCs w:val="28"/>
          <w:lang w:val="en-US" w:eastAsia="zh-CN"/>
        </w:rPr>
        <w:t>根据《集中式饮用水水源地规范化建设环境保护技术要求》（HJ773-2015）中水源地保护区规范化建设内容，</w:t>
      </w:r>
      <w:r>
        <w:rPr>
          <w:rFonts w:hint="eastAsia" w:ascii="Times New Roman" w:hAnsi="Times New Roman" w:cs="Times New Roman"/>
          <w:color w:val="auto"/>
          <w:sz w:val="28"/>
          <w:szCs w:val="28"/>
          <w:lang w:val="en-US" w:eastAsia="zh-CN"/>
        </w:rPr>
        <w:t>西安市灞桥区狄寨街道狄寨村</w:t>
      </w:r>
      <w:r>
        <w:rPr>
          <w:rFonts w:hint="default" w:ascii="Times New Roman" w:hAnsi="Times New Roman" w:eastAsia="宋体" w:cs="Times New Roman"/>
          <w:color w:val="auto"/>
          <w:sz w:val="28"/>
          <w:szCs w:val="28"/>
        </w:rPr>
        <w:t>水源地保护区规范化建设实施方案估算经费</w:t>
      </w:r>
      <w:r>
        <w:rPr>
          <w:rFonts w:hint="eastAsia" w:ascii="Times New Roman" w:hAnsi="Times New Roman" w:cs="Times New Roman"/>
          <w:color w:val="auto"/>
          <w:sz w:val="28"/>
          <w:szCs w:val="28"/>
          <w:highlight w:val="none"/>
          <w:lang w:val="en-US" w:eastAsia="zh-CN"/>
        </w:rPr>
        <w:t>47.6</w:t>
      </w:r>
      <w:r>
        <w:rPr>
          <w:rFonts w:hint="default" w:ascii="Times New Roman" w:hAnsi="Times New Roman" w:cs="Times New Roman"/>
          <w:color w:val="auto"/>
          <w:sz w:val="28"/>
          <w:szCs w:val="28"/>
          <w:highlight w:val="none"/>
          <w:lang w:val="en-US" w:eastAsia="zh-CN"/>
        </w:rPr>
        <w:t>万</w:t>
      </w:r>
      <w:r>
        <w:rPr>
          <w:rFonts w:hint="default" w:ascii="Times New Roman" w:hAnsi="Times New Roman" w:eastAsia="宋体" w:cs="Times New Roman"/>
          <w:color w:val="auto"/>
          <w:sz w:val="28"/>
          <w:szCs w:val="28"/>
          <w:highlight w:val="none"/>
        </w:rPr>
        <w:t>元</w:t>
      </w:r>
      <w:r>
        <w:rPr>
          <w:rFonts w:hint="default" w:ascii="Times New Roman" w:hAnsi="Times New Roman" w:eastAsia="宋体" w:cs="Times New Roman"/>
          <w:color w:val="auto"/>
          <w:sz w:val="28"/>
          <w:szCs w:val="28"/>
        </w:rPr>
        <w:t>，具体见表5.1-1。</w:t>
      </w:r>
    </w:p>
    <w:p w14:paraId="71FF9E86">
      <w:pPr>
        <w:spacing w:line="360" w:lineRule="auto"/>
        <w:ind w:firstLine="482"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表5.1-1   饮用水水源地保护区</w:t>
      </w:r>
      <w:r>
        <w:rPr>
          <w:rFonts w:hint="default" w:ascii="Times New Roman" w:hAnsi="Times New Roman" w:cs="Times New Roman"/>
          <w:b/>
          <w:color w:val="auto"/>
          <w:sz w:val="24"/>
          <w:szCs w:val="24"/>
          <w:lang w:val="en-US" w:eastAsia="zh-CN"/>
        </w:rPr>
        <w:t>规范化建设</w:t>
      </w:r>
      <w:r>
        <w:rPr>
          <w:rFonts w:hint="default" w:ascii="Times New Roman" w:hAnsi="Times New Roman" w:eastAsia="宋体" w:cs="Times New Roman"/>
          <w:b/>
          <w:color w:val="auto"/>
          <w:sz w:val="24"/>
          <w:szCs w:val="24"/>
        </w:rPr>
        <w:t>方案及经费</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949"/>
        <w:gridCol w:w="3881"/>
        <w:gridCol w:w="1856"/>
      </w:tblGrid>
      <w:tr w14:paraId="6772A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492" w:type="pct"/>
            <w:tcBorders>
              <w:tl2br w:val="nil"/>
              <w:tr2bl w:val="nil"/>
            </w:tcBorders>
            <w:vAlign w:val="center"/>
          </w:tcPr>
          <w:p w14:paraId="57938A1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2"/>
                <w:szCs w:val="20"/>
              </w:rPr>
            </w:pPr>
            <w:r>
              <w:rPr>
                <w:rFonts w:hint="default" w:ascii="Times New Roman" w:hAnsi="Times New Roman" w:eastAsia="宋体" w:cs="Times New Roman"/>
                <w:b/>
                <w:color w:val="auto"/>
                <w:kern w:val="0"/>
                <w:sz w:val="22"/>
                <w:szCs w:val="20"/>
              </w:rPr>
              <w:t>序号</w:t>
            </w:r>
          </w:p>
        </w:tc>
        <w:tc>
          <w:tcPr>
            <w:tcW w:w="1143" w:type="pct"/>
            <w:tcBorders>
              <w:tl2br w:val="nil"/>
              <w:tr2bl w:val="nil"/>
            </w:tcBorders>
            <w:vAlign w:val="center"/>
          </w:tcPr>
          <w:p w14:paraId="461849C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2"/>
                <w:szCs w:val="20"/>
              </w:rPr>
            </w:pPr>
            <w:r>
              <w:rPr>
                <w:rFonts w:hint="default" w:ascii="Times New Roman" w:hAnsi="Times New Roman" w:eastAsia="宋体" w:cs="Times New Roman"/>
                <w:b/>
                <w:color w:val="auto"/>
                <w:kern w:val="0"/>
                <w:sz w:val="22"/>
                <w:szCs w:val="20"/>
              </w:rPr>
              <w:t>投资方向</w:t>
            </w:r>
          </w:p>
        </w:tc>
        <w:tc>
          <w:tcPr>
            <w:tcW w:w="2276" w:type="pct"/>
            <w:tcBorders>
              <w:tl2br w:val="nil"/>
              <w:tr2bl w:val="nil"/>
            </w:tcBorders>
            <w:vAlign w:val="center"/>
          </w:tcPr>
          <w:p w14:paraId="6798BD6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2"/>
                <w:szCs w:val="20"/>
              </w:rPr>
            </w:pPr>
            <w:r>
              <w:rPr>
                <w:rFonts w:hint="default" w:ascii="Times New Roman" w:hAnsi="Times New Roman" w:eastAsia="宋体" w:cs="Times New Roman"/>
                <w:b/>
                <w:color w:val="auto"/>
                <w:kern w:val="0"/>
                <w:sz w:val="22"/>
                <w:szCs w:val="20"/>
              </w:rPr>
              <w:t>主要内容</w:t>
            </w:r>
          </w:p>
        </w:tc>
        <w:tc>
          <w:tcPr>
            <w:tcW w:w="1088" w:type="pct"/>
            <w:tcBorders>
              <w:tl2br w:val="nil"/>
              <w:tr2bl w:val="nil"/>
            </w:tcBorders>
            <w:vAlign w:val="center"/>
          </w:tcPr>
          <w:p w14:paraId="1097A57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2"/>
                <w:szCs w:val="20"/>
              </w:rPr>
            </w:pPr>
            <w:r>
              <w:rPr>
                <w:rFonts w:hint="default" w:ascii="Times New Roman" w:hAnsi="Times New Roman" w:eastAsia="宋体" w:cs="Times New Roman"/>
                <w:b/>
                <w:color w:val="auto"/>
                <w:kern w:val="0"/>
                <w:sz w:val="22"/>
                <w:szCs w:val="20"/>
              </w:rPr>
              <w:t>预计投资（万元）</w:t>
            </w:r>
          </w:p>
        </w:tc>
      </w:tr>
      <w:tr w14:paraId="2205E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92" w:type="pct"/>
            <w:tcBorders>
              <w:tl2br w:val="nil"/>
              <w:tr2bl w:val="nil"/>
            </w:tcBorders>
            <w:vAlign w:val="center"/>
          </w:tcPr>
          <w:p w14:paraId="1CF2576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2"/>
                <w:szCs w:val="20"/>
              </w:rPr>
            </w:pPr>
            <w:r>
              <w:rPr>
                <w:rFonts w:hint="default" w:ascii="Times New Roman" w:hAnsi="Times New Roman" w:eastAsia="宋体" w:cs="Times New Roman"/>
                <w:b/>
                <w:bCs/>
                <w:color w:val="auto"/>
                <w:kern w:val="0"/>
                <w:sz w:val="22"/>
                <w:szCs w:val="20"/>
              </w:rPr>
              <w:t>一</w:t>
            </w:r>
          </w:p>
        </w:tc>
        <w:tc>
          <w:tcPr>
            <w:tcW w:w="4507" w:type="pct"/>
            <w:gridSpan w:val="3"/>
            <w:tcBorders>
              <w:tl2br w:val="nil"/>
              <w:tr2bl w:val="nil"/>
            </w:tcBorders>
            <w:vAlign w:val="center"/>
          </w:tcPr>
          <w:p w14:paraId="7E0B8C88">
            <w:pPr>
              <w:keepNext w:val="0"/>
              <w:keepLines w:val="0"/>
              <w:suppressLineNumbers w:val="0"/>
              <w:spacing w:before="0" w:beforeAutospacing="0" w:after="0" w:afterAutospacing="0"/>
              <w:ind w:left="0" w:right="0"/>
              <w:jc w:val="left"/>
              <w:rPr>
                <w:rFonts w:hint="default" w:ascii="Times New Roman" w:hAnsi="Times New Roman" w:eastAsia="宋体" w:cs="Times New Roman"/>
                <w:b/>
                <w:bCs/>
                <w:color w:val="auto"/>
                <w:kern w:val="0"/>
                <w:sz w:val="22"/>
                <w:szCs w:val="20"/>
              </w:rPr>
            </w:pPr>
            <w:r>
              <w:rPr>
                <w:rFonts w:hint="default" w:ascii="Times New Roman" w:hAnsi="Times New Roman" w:eastAsia="宋体" w:cs="Times New Roman"/>
                <w:b/>
                <w:bCs/>
                <w:color w:val="auto"/>
                <w:kern w:val="0"/>
                <w:sz w:val="22"/>
                <w:szCs w:val="20"/>
                <w:lang w:val="en-US" w:eastAsia="zh-CN"/>
              </w:rPr>
              <w:t>保护区建设</w:t>
            </w:r>
          </w:p>
        </w:tc>
      </w:tr>
      <w:tr w14:paraId="14456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2" w:type="pct"/>
            <w:tcBorders>
              <w:tl2br w:val="nil"/>
              <w:tr2bl w:val="nil"/>
            </w:tcBorders>
            <w:vAlign w:val="center"/>
          </w:tcPr>
          <w:p w14:paraId="42AF97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rPr>
            </w:pPr>
            <w:r>
              <w:rPr>
                <w:rFonts w:hint="default" w:ascii="Times New Roman" w:hAnsi="Times New Roman" w:eastAsia="宋体" w:cs="Times New Roman"/>
                <w:color w:val="auto"/>
                <w:kern w:val="0"/>
                <w:sz w:val="22"/>
                <w:szCs w:val="20"/>
              </w:rPr>
              <w:t>1</w:t>
            </w:r>
          </w:p>
        </w:tc>
        <w:tc>
          <w:tcPr>
            <w:tcW w:w="1143" w:type="pct"/>
            <w:tcBorders>
              <w:tl2br w:val="nil"/>
              <w:tr2bl w:val="nil"/>
            </w:tcBorders>
            <w:vAlign w:val="center"/>
          </w:tcPr>
          <w:p w14:paraId="0D5C66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保护区划分</w:t>
            </w:r>
          </w:p>
        </w:tc>
        <w:tc>
          <w:tcPr>
            <w:tcW w:w="2276" w:type="pct"/>
            <w:tcBorders>
              <w:tl2br w:val="nil"/>
              <w:tr2bl w:val="nil"/>
            </w:tcBorders>
            <w:vAlign w:val="center"/>
          </w:tcPr>
          <w:p w14:paraId="3ED689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划定饮用水水源保护区，划分方案依法审批并</w:t>
            </w:r>
            <w:r>
              <w:rPr>
                <w:rFonts w:hint="default" w:ascii="Times New Roman" w:hAnsi="Times New Roman" w:cs="Times New Roman"/>
                <w:color w:val="auto"/>
                <w:kern w:val="0"/>
                <w:sz w:val="22"/>
                <w:szCs w:val="20"/>
                <w:lang w:val="en-US" w:eastAsia="zh-CN"/>
              </w:rPr>
              <w:t>颁布实施。</w:t>
            </w:r>
          </w:p>
        </w:tc>
        <w:tc>
          <w:tcPr>
            <w:tcW w:w="1088" w:type="pct"/>
            <w:tcBorders>
              <w:tl2br w:val="nil"/>
              <w:tr2bl w:val="nil"/>
            </w:tcBorders>
            <w:vAlign w:val="center"/>
          </w:tcPr>
          <w:p w14:paraId="4C6EFC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10</w:t>
            </w:r>
          </w:p>
        </w:tc>
      </w:tr>
      <w:tr w14:paraId="76770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2" w:type="pct"/>
            <w:tcBorders>
              <w:tl2br w:val="nil"/>
              <w:tr2bl w:val="nil"/>
            </w:tcBorders>
            <w:vAlign w:val="center"/>
          </w:tcPr>
          <w:p w14:paraId="3A6D31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2</w:t>
            </w:r>
          </w:p>
        </w:tc>
        <w:tc>
          <w:tcPr>
            <w:tcW w:w="1143" w:type="pct"/>
            <w:tcBorders>
              <w:tl2br w:val="nil"/>
              <w:tr2bl w:val="nil"/>
            </w:tcBorders>
            <w:vAlign w:val="center"/>
          </w:tcPr>
          <w:p w14:paraId="72B34D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bidi="ar-SA"/>
              </w:rPr>
            </w:pPr>
            <w:r>
              <w:rPr>
                <w:rFonts w:hint="default" w:ascii="Times New Roman" w:hAnsi="Times New Roman" w:eastAsia="宋体" w:cs="Times New Roman"/>
                <w:color w:val="auto"/>
                <w:kern w:val="0"/>
                <w:sz w:val="22"/>
                <w:szCs w:val="20"/>
              </w:rPr>
              <w:t>保护区标志设置</w:t>
            </w:r>
          </w:p>
        </w:tc>
        <w:tc>
          <w:tcPr>
            <w:tcW w:w="2276" w:type="pct"/>
            <w:tcBorders>
              <w:tl2br w:val="nil"/>
              <w:tr2bl w:val="nil"/>
            </w:tcBorders>
            <w:vAlign w:val="center"/>
          </w:tcPr>
          <w:p w14:paraId="644647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bidi="ar-SA"/>
              </w:rPr>
            </w:pPr>
            <w:r>
              <w:rPr>
                <w:rFonts w:hint="default" w:ascii="Times New Roman" w:hAnsi="Times New Roman" w:eastAsia="宋体" w:cs="Times New Roman"/>
                <w:color w:val="auto"/>
                <w:kern w:val="0"/>
                <w:sz w:val="22"/>
                <w:szCs w:val="20"/>
              </w:rPr>
              <w:t>界标标志牌</w:t>
            </w:r>
            <w:r>
              <w:rPr>
                <w:rFonts w:hint="eastAsia" w:ascii="Times New Roman" w:hAnsi="Times New Roman" w:cs="Times New Roman"/>
                <w:color w:val="auto"/>
                <w:kern w:val="0"/>
                <w:sz w:val="22"/>
                <w:szCs w:val="20"/>
                <w:lang w:val="en-US" w:eastAsia="zh-CN"/>
              </w:rPr>
              <w:t>2</w:t>
            </w:r>
            <w:r>
              <w:rPr>
                <w:rFonts w:hint="default" w:ascii="Times New Roman" w:hAnsi="Times New Roman" w:eastAsia="宋体" w:cs="Times New Roman"/>
                <w:color w:val="auto"/>
                <w:kern w:val="0"/>
                <w:sz w:val="22"/>
                <w:szCs w:val="20"/>
              </w:rPr>
              <w:t>块，水源地宣传牌</w:t>
            </w:r>
            <w:r>
              <w:rPr>
                <w:rFonts w:hint="eastAsia" w:ascii="Times New Roman" w:hAnsi="Times New Roman" w:cs="Times New Roman"/>
                <w:color w:val="auto"/>
                <w:kern w:val="0"/>
                <w:sz w:val="22"/>
                <w:szCs w:val="20"/>
                <w:lang w:val="en-US" w:eastAsia="zh-CN"/>
              </w:rPr>
              <w:t>2</w:t>
            </w:r>
            <w:r>
              <w:rPr>
                <w:rFonts w:hint="default" w:ascii="Times New Roman" w:hAnsi="Times New Roman" w:eastAsia="宋体" w:cs="Times New Roman"/>
                <w:color w:val="auto"/>
                <w:kern w:val="0"/>
                <w:sz w:val="22"/>
                <w:szCs w:val="20"/>
              </w:rPr>
              <w:t>块</w:t>
            </w:r>
          </w:p>
        </w:tc>
        <w:tc>
          <w:tcPr>
            <w:tcW w:w="1088" w:type="pct"/>
            <w:tcBorders>
              <w:tl2br w:val="nil"/>
              <w:tr2bl w:val="nil"/>
            </w:tcBorders>
            <w:vAlign w:val="center"/>
          </w:tcPr>
          <w:p w14:paraId="76BA30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bidi="ar-SA"/>
              </w:rPr>
            </w:pPr>
            <w:r>
              <w:rPr>
                <w:rFonts w:hint="eastAsia" w:ascii="Times New Roman" w:hAnsi="Times New Roman" w:cs="Times New Roman"/>
                <w:color w:val="auto"/>
                <w:kern w:val="0"/>
                <w:sz w:val="22"/>
                <w:szCs w:val="20"/>
                <w:lang w:val="en-US" w:eastAsia="zh-CN"/>
              </w:rPr>
              <w:t>5.6</w:t>
            </w:r>
          </w:p>
        </w:tc>
      </w:tr>
      <w:tr w14:paraId="4C3B4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92" w:type="pct"/>
            <w:tcBorders>
              <w:tl2br w:val="nil"/>
              <w:tr2bl w:val="nil"/>
            </w:tcBorders>
            <w:vAlign w:val="center"/>
          </w:tcPr>
          <w:p w14:paraId="01A1275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2"/>
                <w:szCs w:val="20"/>
              </w:rPr>
            </w:pPr>
            <w:r>
              <w:rPr>
                <w:rFonts w:hint="default" w:ascii="Times New Roman" w:hAnsi="Times New Roman" w:eastAsia="宋体" w:cs="Times New Roman"/>
                <w:b/>
                <w:bCs/>
                <w:color w:val="auto"/>
                <w:kern w:val="0"/>
                <w:sz w:val="22"/>
                <w:szCs w:val="20"/>
              </w:rPr>
              <w:t>二</w:t>
            </w:r>
          </w:p>
        </w:tc>
        <w:tc>
          <w:tcPr>
            <w:tcW w:w="4507" w:type="pct"/>
            <w:gridSpan w:val="3"/>
            <w:tcBorders>
              <w:tl2br w:val="nil"/>
              <w:tr2bl w:val="nil"/>
            </w:tcBorders>
            <w:vAlign w:val="center"/>
          </w:tcPr>
          <w:p w14:paraId="6D754519">
            <w:pPr>
              <w:keepNext w:val="0"/>
              <w:keepLines w:val="0"/>
              <w:suppressLineNumbers w:val="0"/>
              <w:spacing w:before="0" w:beforeAutospacing="0" w:after="0" w:afterAutospacing="0"/>
              <w:ind w:left="0" w:right="0"/>
              <w:jc w:val="left"/>
              <w:rPr>
                <w:rFonts w:hint="default" w:ascii="Times New Roman" w:hAnsi="Times New Roman" w:eastAsia="宋体" w:cs="Times New Roman"/>
                <w:b/>
                <w:bCs/>
                <w:color w:val="auto"/>
                <w:kern w:val="0"/>
                <w:sz w:val="22"/>
                <w:szCs w:val="20"/>
              </w:rPr>
            </w:pPr>
            <w:r>
              <w:rPr>
                <w:rFonts w:hint="default" w:ascii="Times New Roman" w:hAnsi="Times New Roman" w:eastAsia="宋体" w:cs="Times New Roman"/>
                <w:b/>
                <w:bCs/>
                <w:color w:val="auto"/>
                <w:kern w:val="0"/>
                <w:sz w:val="22"/>
                <w:szCs w:val="20"/>
                <w:lang w:val="en-US" w:eastAsia="zh-CN"/>
              </w:rPr>
              <w:t>监控能力建设</w:t>
            </w:r>
          </w:p>
        </w:tc>
      </w:tr>
      <w:tr w14:paraId="79068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92" w:type="pct"/>
            <w:tcBorders>
              <w:tl2br w:val="nil"/>
              <w:tr2bl w:val="nil"/>
            </w:tcBorders>
            <w:vAlign w:val="center"/>
          </w:tcPr>
          <w:p w14:paraId="4A889E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rPr>
            </w:pPr>
            <w:r>
              <w:rPr>
                <w:rFonts w:hint="default" w:ascii="Times New Roman" w:hAnsi="Times New Roman" w:eastAsia="宋体" w:cs="Times New Roman"/>
                <w:color w:val="auto"/>
                <w:kern w:val="0"/>
                <w:sz w:val="22"/>
                <w:szCs w:val="20"/>
              </w:rPr>
              <w:t>1</w:t>
            </w:r>
          </w:p>
        </w:tc>
        <w:tc>
          <w:tcPr>
            <w:tcW w:w="1143" w:type="pct"/>
            <w:tcBorders>
              <w:tl2br w:val="nil"/>
              <w:tr2bl w:val="nil"/>
            </w:tcBorders>
            <w:vAlign w:val="center"/>
          </w:tcPr>
          <w:p w14:paraId="5D5AAA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rPr>
            </w:pPr>
            <w:r>
              <w:rPr>
                <w:rFonts w:hint="default" w:ascii="Times New Roman" w:hAnsi="Times New Roman" w:eastAsia="宋体" w:cs="Times New Roman"/>
                <w:color w:val="auto"/>
                <w:kern w:val="0"/>
                <w:sz w:val="22"/>
                <w:szCs w:val="20"/>
              </w:rPr>
              <w:t>水源地水质定期监测</w:t>
            </w:r>
          </w:p>
        </w:tc>
        <w:tc>
          <w:tcPr>
            <w:tcW w:w="2276" w:type="pct"/>
            <w:tcBorders>
              <w:tl2br w:val="nil"/>
              <w:tr2bl w:val="nil"/>
            </w:tcBorders>
            <w:vAlign w:val="center"/>
          </w:tcPr>
          <w:p w14:paraId="14B982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rPr>
            </w:pPr>
            <w:r>
              <w:rPr>
                <w:rFonts w:hint="default" w:ascii="Times New Roman" w:hAnsi="Times New Roman" w:eastAsia="宋体" w:cs="Times New Roman"/>
                <w:color w:val="auto"/>
                <w:kern w:val="0"/>
                <w:sz w:val="22"/>
                <w:szCs w:val="20"/>
                <w:lang w:val="en-US" w:eastAsia="zh-CN"/>
              </w:rPr>
              <w:t>布设监测点位，</w:t>
            </w:r>
            <w:r>
              <w:rPr>
                <w:rFonts w:hint="default" w:ascii="Times New Roman" w:hAnsi="Times New Roman" w:eastAsia="宋体" w:cs="Times New Roman"/>
                <w:color w:val="auto"/>
                <w:kern w:val="0"/>
                <w:sz w:val="22"/>
                <w:szCs w:val="20"/>
              </w:rPr>
              <w:t>建议每</w:t>
            </w:r>
            <w:r>
              <w:rPr>
                <w:rFonts w:hint="eastAsia" w:ascii="Times New Roman" w:hAnsi="Times New Roman" w:cs="Times New Roman"/>
                <w:color w:val="auto"/>
                <w:kern w:val="0"/>
                <w:sz w:val="22"/>
                <w:szCs w:val="20"/>
                <w:lang w:val="en-US" w:eastAsia="zh-CN"/>
              </w:rPr>
              <w:t>半年</w:t>
            </w:r>
            <w:r>
              <w:rPr>
                <w:rFonts w:hint="default" w:ascii="Times New Roman" w:hAnsi="Times New Roman" w:eastAsia="宋体" w:cs="Times New Roman"/>
                <w:color w:val="auto"/>
                <w:kern w:val="0"/>
                <w:sz w:val="22"/>
                <w:szCs w:val="20"/>
              </w:rPr>
              <w:t>进行常规监测，每年进行一次全分析监测</w:t>
            </w:r>
          </w:p>
        </w:tc>
        <w:tc>
          <w:tcPr>
            <w:tcW w:w="1088" w:type="pct"/>
            <w:tcBorders>
              <w:tl2br w:val="nil"/>
              <w:tr2bl w:val="nil"/>
            </w:tcBorders>
            <w:vAlign w:val="center"/>
          </w:tcPr>
          <w:p w14:paraId="7F0F19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eastAsia" w:ascii="Times New Roman" w:hAnsi="Times New Roman" w:cs="Times New Roman"/>
                <w:color w:val="auto"/>
                <w:kern w:val="0"/>
                <w:sz w:val="22"/>
                <w:szCs w:val="20"/>
                <w:lang w:val="en-US" w:eastAsia="zh-CN"/>
              </w:rPr>
              <w:t>5/年</w:t>
            </w:r>
          </w:p>
        </w:tc>
      </w:tr>
      <w:tr w14:paraId="5840C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92" w:type="pct"/>
            <w:tcBorders>
              <w:tl2br w:val="nil"/>
              <w:tr2bl w:val="nil"/>
            </w:tcBorders>
            <w:vAlign w:val="center"/>
          </w:tcPr>
          <w:p w14:paraId="2AA0803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0"/>
                <w:lang w:val="en-US" w:eastAsia="zh-CN"/>
              </w:rPr>
            </w:pPr>
            <w:r>
              <w:rPr>
                <w:rFonts w:hint="eastAsia" w:ascii="Times New Roman" w:hAnsi="Times New Roman" w:cs="Times New Roman"/>
                <w:color w:val="auto"/>
                <w:kern w:val="0"/>
                <w:sz w:val="22"/>
                <w:szCs w:val="20"/>
                <w:lang w:val="en-US" w:eastAsia="zh-CN"/>
              </w:rPr>
              <w:t>2</w:t>
            </w:r>
          </w:p>
        </w:tc>
        <w:tc>
          <w:tcPr>
            <w:tcW w:w="1143" w:type="pct"/>
            <w:tcBorders>
              <w:tl2br w:val="nil"/>
              <w:tr2bl w:val="nil"/>
            </w:tcBorders>
            <w:vAlign w:val="center"/>
          </w:tcPr>
          <w:p w14:paraId="4F22B6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宋体"/>
                <w:color w:val="auto"/>
                <w:kern w:val="0"/>
                <w:sz w:val="22"/>
                <w:szCs w:val="22"/>
              </w:rPr>
              <w:t>视频监控</w:t>
            </w:r>
          </w:p>
        </w:tc>
        <w:tc>
          <w:tcPr>
            <w:tcW w:w="2276" w:type="pct"/>
            <w:tcBorders>
              <w:tl2br w:val="nil"/>
              <w:tr2bl w:val="nil"/>
            </w:tcBorders>
            <w:vAlign w:val="center"/>
          </w:tcPr>
          <w:p w14:paraId="183F8B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宋体"/>
                <w:color w:val="auto"/>
                <w:kern w:val="0"/>
                <w:sz w:val="22"/>
                <w:szCs w:val="22"/>
              </w:rPr>
              <w:t>供水站内水源井取水口四周安装视频监控设备</w:t>
            </w:r>
          </w:p>
        </w:tc>
        <w:tc>
          <w:tcPr>
            <w:tcW w:w="1088" w:type="pct"/>
            <w:tcBorders>
              <w:tl2br w:val="nil"/>
              <w:tr2bl w:val="nil"/>
            </w:tcBorders>
            <w:vAlign w:val="center"/>
          </w:tcPr>
          <w:p w14:paraId="5FB6B9D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2"/>
                <w:szCs w:val="20"/>
                <w:lang w:val="en-US" w:eastAsia="zh-CN"/>
              </w:rPr>
            </w:pPr>
            <w:r>
              <w:rPr>
                <w:rFonts w:hint="eastAsia" w:ascii="Times New Roman" w:hAnsi="Times New Roman" w:cs="Times New Roman"/>
                <w:color w:val="auto"/>
                <w:kern w:val="0"/>
                <w:sz w:val="22"/>
                <w:szCs w:val="20"/>
                <w:lang w:val="en-US" w:eastAsia="zh-CN"/>
              </w:rPr>
              <w:t>2</w:t>
            </w:r>
          </w:p>
        </w:tc>
      </w:tr>
      <w:tr w14:paraId="5BE7E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92" w:type="pct"/>
            <w:tcBorders>
              <w:tl2br w:val="nil"/>
              <w:tr2bl w:val="nil"/>
            </w:tcBorders>
            <w:vAlign w:val="center"/>
          </w:tcPr>
          <w:p w14:paraId="00AE15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2"/>
                <w:szCs w:val="20"/>
              </w:rPr>
            </w:pPr>
            <w:r>
              <w:rPr>
                <w:rFonts w:hint="default" w:ascii="Times New Roman" w:hAnsi="Times New Roman" w:eastAsia="宋体" w:cs="Times New Roman"/>
                <w:b/>
                <w:bCs/>
                <w:color w:val="auto"/>
                <w:kern w:val="0"/>
                <w:sz w:val="22"/>
                <w:szCs w:val="20"/>
              </w:rPr>
              <w:t>三</w:t>
            </w:r>
          </w:p>
        </w:tc>
        <w:tc>
          <w:tcPr>
            <w:tcW w:w="4507" w:type="pct"/>
            <w:gridSpan w:val="3"/>
            <w:tcBorders>
              <w:tl2br w:val="nil"/>
              <w:tr2bl w:val="nil"/>
            </w:tcBorders>
            <w:vAlign w:val="center"/>
          </w:tcPr>
          <w:p w14:paraId="0348AEC3">
            <w:pPr>
              <w:keepNext w:val="0"/>
              <w:keepLines w:val="0"/>
              <w:suppressLineNumbers w:val="0"/>
              <w:spacing w:before="0" w:beforeAutospacing="0" w:after="0" w:afterAutospacing="0"/>
              <w:ind w:left="0" w:right="0"/>
              <w:jc w:val="left"/>
              <w:rPr>
                <w:rFonts w:hint="default" w:ascii="Times New Roman" w:hAnsi="Times New Roman" w:eastAsia="宋体" w:cs="Times New Roman"/>
                <w:b/>
                <w:bCs/>
                <w:color w:val="auto"/>
                <w:kern w:val="0"/>
                <w:sz w:val="22"/>
                <w:szCs w:val="20"/>
                <w:lang w:val="en-US" w:eastAsia="zh-CN"/>
              </w:rPr>
            </w:pPr>
            <w:r>
              <w:rPr>
                <w:rFonts w:hint="default" w:ascii="Times New Roman" w:hAnsi="Times New Roman" w:eastAsia="宋体" w:cs="Times New Roman"/>
                <w:b/>
                <w:bCs/>
                <w:color w:val="auto"/>
                <w:kern w:val="0"/>
                <w:sz w:val="22"/>
                <w:szCs w:val="20"/>
                <w:lang w:val="en-US" w:eastAsia="zh-CN"/>
              </w:rPr>
              <w:t>风险防控和应急能力建设</w:t>
            </w:r>
          </w:p>
        </w:tc>
      </w:tr>
      <w:tr w14:paraId="04E4C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92" w:type="pct"/>
            <w:tcBorders>
              <w:tl2br w:val="nil"/>
              <w:tr2bl w:val="nil"/>
            </w:tcBorders>
            <w:vAlign w:val="center"/>
          </w:tcPr>
          <w:p w14:paraId="6C88A0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rPr>
            </w:pPr>
            <w:r>
              <w:rPr>
                <w:rFonts w:hint="default" w:ascii="Times New Roman" w:hAnsi="Times New Roman" w:eastAsia="宋体" w:cs="Times New Roman"/>
                <w:color w:val="auto"/>
                <w:kern w:val="0"/>
                <w:sz w:val="22"/>
                <w:szCs w:val="20"/>
              </w:rPr>
              <w:t>1</w:t>
            </w:r>
          </w:p>
        </w:tc>
        <w:tc>
          <w:tcPr>
            <w:tcW w:w="1143" w:type="pct"/>
            <w:tcBorders>
              <w:tl2br w:val="nil"/>
              <w:tr2bl w:val="nil"/>
            </w:tcBorders>
            <w:vAlign w:val="center"/>
          </w:tcPr>
          <w:p w14:paraId="04DD40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风险识别及防范</w:t>
            </w:r>
          </w:p>
        </w:tc>
        <w:tc>
          <w:tcPr>
            <w:tcW w:w="2276" w:type="pct"/>
            <w:tcBorders>
              <w:tl2br w:val="nil"/>
              <w:tr2bl w:val="nil"/>
            </w:tcBorders>
            <w:vAlign w:val="center"/>
          </w:tcPr>
          <w:p w14:paraId="7A973C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定期或不定期开展饮用水水源地周边环境安全隐患排查及饮用水水源地环境风险评估</w:t>
            </w:r>
          </w:p>
        </w:tc>
        <w:tc>
          <w:tcPr>
            <w:tcW w:w="1088" w:type="pct"/>
            <w:tcBorders>
              <w:tl2br w:val="nil"/>
              <w:tr2bl w:val="nil"/>
            </w:tcBorders>
            <w:vAlign w:val="center"/>
          </w:tcPr>
          <w:p w14:paraId="6D5005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eastAsia" w:ascii="Times New Roman" w:hAnsi="Times New Roman" w:cs="Times New Roman"/>
                <w:color w:val="auto"/>
                <w:kern w:val="0"/>
                <w:sz w:val="22"/>
                <w:szCs w:val="20"/>
                <w:lang w:val="en-US" w:eastAsia="zh-CN"/>
              </w:rPr>
              <w:t>10</w:t>
            </w:r>
          </w:p>
        </w:tc>
      </w:tr>
      <w:tr w14:paraId="0EDFB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92" w:type="pct"/>
            <w:tcBorders>
              <w:tl2br w:val="nil"/>
              <w:tr2bl w:val="nil"/>
            </w:tcBorders>
            <w:vAlign w:val="center"/>
          </w:tcPr>
          <w:p w14:paraId="199369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2</w:t>
            </w:r>
          </w:p>
        </w:tc>
        <w:tc>
          <w:tcPr>
            <w:tcW w:w="1143" w:type="pct"/>
            <w:tcBorders>
              <w:tl2br w:val="nil"/>
              <w:tr2bl w:val="nil"/>
            </w:tcBorders>
            <w:vAlign w:val="center"/>
          </w:tcPr>
          <w:p w14:paraId="62D44F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应急能力</w:t>
            </w:r>
          </w:p>
        </w:tc>
        <w:tc>
          <w:tcPr>
            <w:tcW w:w="2276" w:type="pct"/>
            <w:tcBorders>
              <w:tl2br w:val="nil"/>
              <w:tr2bl w:val="nil"/>
            </w:tcBorders>
            <w:vAlign w:val="center"/>
          </w:tcPr>
          <w:p w14:paraId="6EA735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设置专项应急预案，按环保部门要求备案并定期演练和修订应急预案，并配备相应的应急物质</w:t>
            </w:r>
          </w:p>
        </w:tc>
        <w:tc>
          <w:tcPr>
            <w:tcW w:w="1088" w:type="pct"/>
            <w:tcBorders>
              <w:tl2br w:val="nil"/>
              <w:tr2bl w:val="nil"/>
            </w:tcBorders>
            <w:vAlign w:val="center"/>
          </w:tcPr>
          <w:p w14:paraId="59F2CC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eastAsia" w:ascii="Times New Roman" w:hAnsi="Times New Roman" w:cs="Times New Roman"/>
                <w:color w:val="auto"/>
                <w:kern w:val="0"/>
                <w:sz w:val="22"/>
                <w:szCs w:val="20"/>
                <w:lang w:val="en-US" w:eastAsia="zh-CN"/>
              </w:rPr>
              <w:t>10</w:t>
            </w:r>
          </w:p>
        </w:tc>
      </w:tr>
      <w:tr w14:paraId="10826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92" w:type="pct"/>
            <w:tcBorders>
              <w:tl2br w:val="nil"/>
              <w:tr2bl w:val="nil"/>
            </w:tcBorders>
            <w:vAlign w:val="center"/>
          </w:tcPr>
          <w:p w14:paraId="771A28A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2"/>
                <w:szCs w:val="20"/>
                <w:lang w:val="en-US" w:eastAsia="zh-CN" w:bidi="ar-SA"/>
              </w:rPr>
            </w:pPr>
            <w:r>
              <w:rPr>
                <w:rFonts w:hint="default" w:ascii="Times New Roman" w:hAnsi="Times New Roman" w:cs="Times New Roman"/>
                <w:b/>
                <w:bCs/>
                <w:color w:val="auto"/>
                <w:kern w:val="0"/>
                <w:sz w:val="22"/>
                <w:szCs w:val="20"/>
                <w:lang w:val="en-US" w:eastAsia="zh-CN"/>
              </w:rPr>
              <w:t>四</w:t>
            </w:r>
          </w:p>
        </w:tc>
        <w:tc>
          <w:tcPr>
            <w:tcW w:w="4507" w:type="pct"/>
            <w:gridSpan w:val="3"/>
            <w:tcBorders>
              <w:tl2br w:val="nil"/>
              <w:tr2bl w:val="nil"/>
            </w:tcBorders>
            <w:vAlign w:val="center"/>
          </w:tcPr>
          <w:p w14:paraId="1C6774F6">
            <w:pPr>
              <w:keepNext w:val="0"/>
              <w:keepLines w:val="0"/>
              <w:suppressLineNumbers w:val="0"/>
              <w:spacing w:before="0" w:beforeAutospacing="0" w:after="0" w:afterAutospacing="0"/>
              <w:ind w:left="0" w:right="0"/>
              <w:jc w:val="left"/>
              <w:rPr>
                <w:rFonts w:hint="default" w:ascii="Times New Roman" w:hAnsi="Times New Roman" w:eastAsia="宋体" w:cs="Times New Roman"/>
                <w:b/>
                <w:bCs/>
                <w:color w:val="auto"/>
                <w:kern w:val="0"/>
                <w:sz w:val="22"/>
                <w:szCs w:val="20"/>
                <w:lang w:val="en-US" w:eastAsia="zh-CN" w:bidi="ar-SA"/>
              </w:rPr>
            </w:pPr>
            <w:r>
              <w:rPr>
                <w:rFonts w:hint="default" w:ascii="Times New Roman" w:hAnsi="Times New Roman" w:cs="Times New Roman"/>
                <w:b/>
                <w:bCs/>
                <w:color w:val="auto"/>
                <w:kern w:val="0"/>
                <w:sz w:val="22"/>
                <w:szCs w:val="20"/>
                <w:lang w:val="en-US" w:eastAsia="zh-CN"/>
              </w:rPr>
              <w:t>管理措施</w:t>
            </w:r>
          </w:p>
        </w:tc>
      </w:tr>
      <w:tr w14:paraId="69FC8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92" w:type="pct"/>
            <w:tcBorders>
              <w:tl2br w:val="nil"/>
              <w:tr2bl w:val="nil"/>
            </w:tcBorders>
            <w:vAlign w:val="center"/>
          </w:tcPr>
          <w:p w14:paraId="608A67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1</w:t>
            </w:r>
          </w:p>
        </w:tc>
        <w:tc>
          <w:tcPr>
            <w:tcW w:w="1143" w:type="pct"/>
            <w:tcBorders>
              <w:tl2br w:val="nil"/>
              <w:tr2bl w:val="nil"/>
            </w:tcBorders>
            <w:vAlign w:val="center"/>
          </w:tcPr>
          <w:p w14:paraId="6DB543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环境状况评估</w:t>
            </w:r>
          </w:p>
        </w:tc>
        <w:tc>
          <w:tcPr>
            <w:tcW w:w="2276" w:type="pct"/>
            <w:tcBorders>
              <w:tl2br w:val="nil"/>
              <w:tr2bl w:val="nil"/>
            </w:tcBorders>
            <w:vAlign w:val="center"/>
          </w:tcPr>
          <w:p w14:paraId="6EC6D9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default" w:ascii="Times New Roman" w:hAnsi="Times New Roman" w:eastAsia="宋体" w:cs="Times New Roman"/>
                <w:color w:val="auto"/>
                <w:kern w:val="0"/>
                <w:sz w:val="22"/>
                <w:szCs w:val="20"/>
                <w:lang w:val="en-US" w:eastAsia="zh-CN"/>
              </w:rPr>
              <w:t>定期开展饮用水水源地环境状况评估</w:t>
            </w:r>
          </w:p>
        </w:tc>
        <w:tc>
          <w:tcPr>
            <w:tcW w:w="1088" w:type="pct"/>
            <w:tcBorders>
              <w:tl2br w:val="nil"/>
              <w:tr2bl w:val="nil"/>
            </w:tcBorders>
            <w:vAlign w:val="center"/>
          </w:tcPr>
          <w:p w14:paraId="1970E9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eastAsia" w:ascii="Times New Roman" w:hAnsi="Times New Roman" w:cs="Times New Roman"/>
                <w:color w:val="auto"/>
                <w:kern w:val="0"/>
                <w:sz w:val="22"/>
                <w:szCs w:val="20"/>
                <w:lang w:val="en-US" w:eastAsia="zh-CN"/>
              </w:rPr>
              <w:t>5</w:t>
            </w:r>
          </w:p>
        </w:tc>
      </w:tr>
      <w:tr w14:paraId="497F0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911" w:type="pct"/>
            <w:gridSpan w:val="3"/>
            <w:tcBorders>
              <w:tl2br w:val="nil"/>
              <w:tr2bl w:val="nil"/>
            </w:tcBorders>
            <w:vAlign w:val="center"/>
          </w:tcPr>
          <w:p w14:paraId="5130A4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rPr>
            </w:pPr>
            <w:r>
              <w:rPr>
                <w:rFonts w:hint="default" w:ascii="Times New Roman" w:hAnsi="Times New Roman" w:eastAsia="宋体" w:cs="Times New Roman"/>
                <w:color w:val="auto"/>
                <w:kern w:val="0"/>
                <w:sz w:val="22"/>
                <w:szCs w:val="20"/>
              </w:rPr>
              <w:t>合计</w:t>
            </w:r>
          </w:p>
        </w:tc>
        <w:tc>
          <w:tcPr>
            <w:tcW w:w="1088" w:type="pct"/>
            <w:tcBorders>
              <w:tl2br w:val="nil"/>
              <w:tr2bl w:val="nil"/>
            </w:tcBorders>
            <w:vAlign w:val="center"/>
          </w:tcPr>
          <w:p w14:paraId="75A033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0"/>
                <w:lang w:val="en-US" w:eastAsia="zh-CN"/>
              </w:rPr>
            </w:pPr>
            <w:r>
              <w:rPr>
                <w:rFonts w:hint="eastAsia" w:ascii="Times New Roman" w:hAnsi="Times New Roman" w:cs="Times New Roman"/>
                <w:color w:val="auto"/>
                <w:kern w:val="0"/>
                <w:sz w:val="22"/>
                <w:szCs w:val="20"/>
                <w:lang w:val="en-US" w:eastAsia="zh-CN"/>
              </w:rPr>
              <w:t>47.6</w:t>
            </w:r>
          </w:p>
        </w:tc>
      </w:tr>
    </w:tbl>
    <w:p w14:paraId="12D4D5F0">
      <w:pPr>
        <w:keepNext/>
        <w:keepLines/>
        <w:pageBreakBefore w:val="0"/>
        <w:widowControl w:val="0"/>
        <w:kinsoku/>
        <w:wordWrap/>
        <w:overflowPunct/>
        <w:topLinePunct w:val="0"/>
        <w:autoSpaceDE/>
        <w:autoSpaceDN/>
        <w:bidi w:val="0"/>
        <w:adjustRightInd/>
        <w:snapToGrid/>
        <w:spacing w:after="260" w:line="360" w:lineRule="auto"/>
        <w:jc w:val="left"/>
        <w:textAlignment w:val="auto"/>
        <w:outlineLvl w:val="1"/>
        <w:rPr>
          <w:rFonts w:hint="default" w:ascii="Times New Roman" w:hAnsi="Times New Roman" w:eastAsia="宋体" w:cs="Times New Roman"/>
          <w:b/>
          <w:bCs/>
          <w:color w:val="auto"/>
          <w:kern w:val="2"/>
          <w:sz w:val="30"/>
          <w:szCs w:val="32"/>
          <w:lang w:val="en-US" w:eastAsia="zh-CN" w:bidi="ar-SA"/>
        </w:rPr>
      </w:pPr>
      <w:bookmarkStart w:id="111" w:name="_Toc42592590"/>
      <w:bookmarkStart w:id="112" w:name="_Toc10169"/>
      <w:bookmarkStart w:id="113" w:name="_Toc513189393"/>
      <w:r>
        <w:rPr>
          <w:rFonts w:hint="default" w:ascii="Times New Roman" w:hAnsi="Times New Roman" w:eastAsia="宋体" w:cs="Times New Roman"/>
          <w:b/>
          <w:bCs/>
          <w:color w:val="auto"/>
          <w:kern w:val="2"/>
          <w:sz w:val="30"/>
          <w:szCs w:val="32"/>
          <w:lang w:val="en-US" w:eastAsia="zh-CN" w:bidi="ar-SA"/>
        </w:rPr>
        <w:t>5.2规范化建设目标达标的可行性分析</w:t>
      </w:r>
      <w:bookmarkEnd w:id="111"/>
      <w:bookmarkEnd w:id="112"/>
      <w:bookmarkEnd w:id="113"/>
    </w:p>
    <w:p w14:paraId="300C2BBF">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bookmarkStart w:id="114" w:name="_Toc513189394"/>
      <w:bookmarkStart w:id="115" w:name="_Toc42592591"/>
      <w:bookmarkStart w:id="116" w:name="_Toc468081896"/>
      <w:r>
        <w:rPr>
          <w:rFonts w:hint="default" w:ascii="Times New Roman" w:hAnsi="Times New Roman" w:eastAsia="宋体" w:cs="Times New Roman"/>
          <w:b/>
          <w:bCs/>
          <w:color w:val="auto"/>
          <w:kern w:val="2"/>
          <w:sz w:val="28"/>
          <w:szCs w:val="28"/>
          <w:lang w:val="en-US" w:eastAsia="zh-CN" w:bidi="ar-SA"/>
        </w:rPr>
        <w:t>5.2.1整治方案目标可达性分析</w:t>
      </w:r>
      <w:bookmarkEnd w:id="114"/>
      <w:bookmarkEnd w:id="115"/>
      <w:bookmarkEnd w:id="116"/>
      <w:r>
        <w:rPr>
          <w:rFonts w:hint="default" w:ascii="Times New Roman" w:hAnsi="Times New Roman" w:eastAsia="宋体" w:cs="Times New Roman"/>
          <w:b/>
          <w:bCs/>
          <w:color w:val="auto"/>
          <w:kern w:val="2"/>
          <w:sz w:val="28"/>
          <w:szCs w:val="28"/>
          <w:lang w:val="en-US" w:eastAsia="zh-CN" w:bidi="ar-SA"/>
        </w:rPr>
        <w:t xml:space="preserve"> </w:t>
      </w:r>
    </w:p>
    <w:p w14:paraId="1FF6E7D6">
      <w:pPr>
        <w:spacing w:line="360" w:lineRule="auto"/>
        <w:ind w:firstLine="482" w:firstLineChars="200"/>
        <w:jc w:val="center"/>
        <w:rPr>
          <w:rFonts w:hint="default" w:ascii="Times New Roman" w:hAnsi="Times New Roman" w:eastAsia="宋体" w:cs="Times New Roman"/>
          <w:b/>
          <w:color w:val="auto"/>
          <w:sz w:val="24"/>
          <w:szCs w:val="24"/>
        </w:rPr>
      </w:pPr>
      <w:bookmarkStart w:id="117" w:name="_Toc513189395"/>
      <w:bookmarkStart w:id="118" w:name="_Toc468081897"/>
    </w:p>
    <w:p w14:paraId="1E29E20C">
      <w:pPr>
        <w:spacing w:line="360" w:lineRule="auto"/>
        <w:ind w:firstLine="482" w:firstLineChars="200"/>
        <w:jc w:val="center"/>
        <w:rPr>
          <w:rFonts w:hint="default" w:ascii="Times New Roman" w:hAnsi="Times New Roman" w:eastAsia="宋体" w:cs="Times New Roman"/>
          <w:b/>
          <w:color w:val="auto"/>
          <w:sz w:val="24"/>
          <w:szCs w:val="24"/>
        </w:rPr>
      </w:pPr>
    </w:p>
    <w:p w14:paraId="4A31B6C6">
      <w:pPr>
        <w:spacing w:line="360" w:lineRule="auto"/>
        <w:ind w:firstLine="482"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表5.2</w:t>
      </w:r>
      <w:r>
        <w:rPr>
          <w:rFonts w:hint="default" w:ascii="Times New Roman" w:hAnsi="Times New Roman" w:eastAsia="宋体" w:cs="Times New Roman"/>
          <w:b/>
          <w:color w:val="auto"/>
          <w:sz w:val="24"/>
          <w:szCs w:val="24"/>
        </w:rPr>
        <w:noBreakHyphen/>
      </w:r>
      <w:r>
        <w:rPr>
          <w:rFonts w:hint="default" w:ascii="Times New Roman" w:hAnsi="Times New Roman" w:eastAsia="宋体" w:cs="Times New Roman"/>
          <w:b/>
          <w:color w:val="auto"/>
          <w:sz w:val="24"/>
          <w:szCs w:val="24"/>
        </w:rPr>
        <w:t xml:space="preserve">1  </w:t>
      </w:r>
      <w:r>
        <w:rPr>
          <w:rFonts w:hint="default" w:ascii="Times New Roman" w:hAnsi="Times New Roman" w:eastAsia="宋体" w:cs="Times New Roman"/>
          <w:b/>
          <w:color w:val="auto"/>
          <w:sz w:val="24"/>
          <w:szCs w:val="24"/>
          <w:lang w:val="en-US" w:eastAsia="zh-CN"/>
        </w:rPr>
        <w:t>可</w:t>
      </w:r>
      <w:r>
        <w:rPr>
          <w:rFonts w:hint="default" w:ascii="Times New Roman" w:hAnsi="Times New Roman" w:eastAsia="宋体" w:cs="Times New Roman"/>
          <w:b/>
          <w:color w:val="auto"/>
          <w:sz w:val="24"/>
          <w:szCs w:val="24"/>
        </w:rPr>
        <w:t>行性分析表</w:t>
      </w:r>
    </w:p>
    <w:tbl>
      <w:tblPr>
        <w:tblStyle w:val="19"/>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796"/>
        <w:gridCol w:w="799"/>
        <w:gridCol w:w="904"/>
        <w:gridCol w:w="4563"/>
        <w:gridCol w:w="800"/>
        <w:gridCol w:w="666"/>
      </w:tblGrid>
      <w:tr w14:paraId="59265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85" w:hRule="atLeast"/>
          <w:tblHeader/>
          <w:jc w:val="center"/>
        </w:trPr>
        <w:tc>
          <w:tcPr>
            <w:tcW w:w="796" w:type="dxa"/>
            <w:noWrap w:val="0"/>
            <w:vAlign w:val="center"/>
          </w:tcPr>
          <w:p w14:paraId="3424EAA0">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要求名称</w:t>
            </w:r>
          </w:p>
        </w:tc>
        <w:tc>
          <w:tcPr>
            <w:tcW w:w="799" w:type="dxa"/>
            <w:noWrap w:val="0"/>
            <w:vAlign w:val="center"/>
          </w:tcPr>
          <w:p w14:paraId="4340DB29">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分类名称</w:t>
            </w:r>
          </w:p>
        </w:tc>
        <w:tc>
          <w:tcPr>
            <w:tcW w:w="5467" w:type="dxa"/>
            <w:gridSpan w:val="2"/>
            <w:noWrap w:val="0"/>
            <w:vAlign w:val="center"/>
          </w:tcPr>
          <w:p w14:paraId="4139F07E">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具体内容</w:t>
            </w:r>
          </w:p>
        </w:tc>
        <w:tc>
          <w:tcPr>
            <w:tcW w:w="800" w:type="dxa"/>
            <w:noWrap w:val="0"/>
            <w:vAlign w:val="center"/>
          </w:tcPr>
          <w:p w14:paraId="1B3A34F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适用性</w:t>
            </w:r>
          </w:p>
        </w:tc>
        <w:tc>
          <w:tcPr>
            <w:tcW w:w="666" w:type="dxa"/>
            <w:noWrap w:val="0"/>
            <w:vAlign w:val="center"/>
          </w:tcPr>
          <w:p w14:paraId="2C8191E3">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是否可达</w:t>
            </w:r>
          </w:p>
        </w:tc>
      </w:tr>
      <w:tr w14:paraId="7974E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40" w:hRule="atLeast"/>
          <w:jc w:val="center"/>
        </w:trPr>
        <w:tc>
          <w:tcPr>
            <w:tcW w:w="796" w:type="dxa"/>
            <w:vMerge w:val="restart"/>
            <w:noWrap w:val="0"/>
            <w:vAlign w:val="center"/>
          </w:tcPr>
          <w:p w14:paraId="34322E8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4水源水量水质要求</w:t>
            </w:r>
          </w:p>
        </w:tc>
        <w:tc>
          <w:tcPr>
            <w:tcW w:w="799" w:type="dxa"/>
            <w:noWrap w:val="0"/>
            <w:vAlign w:val="center"/>
          </w:tcPr>
          <w:p w14:paraId="698F8FE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4.1水量</w:t>
            </w:r>
          </w:p>
        </w:tc>
        <w:tc>
          <w:tcPr>
            <w:tcW w:w="5467" w:type="dxa"/>
            <w:gridSpan w:val="2"/>
            <w:noWrap w:val="0"/>
            <w:vAlign w:val="center"/>
          </w:tcPr>
          <w:p w14:paraId="4A37D24F">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地下</w:t>
            </w:r>
            <w:r>
              <w:rPr>
                <w:rFonts w:hint="default" w:ascii="Times New Roman" w:hAnsi="Times New Roman" w:eastAsia="宋体" w:cs="Times New Roman"/>
                <w:color w:val="auto"/>
                <w:szCs w:val="21"/>
              </w:rPr>
              <w:t>水饮用水水源</w:t>
            </w:r>
            <w:r>
              <w:rPr>
                <w:rFonts w:hint="default" w:ascii="Times New Roman" w:hAnsi="Times New Roman" w:cs="Times New Roman"/>
                <w:color w:val="auto"/>
                <w:szCs w:val="21"/>
                <w:lang w:val="en-US" w:eastAsia="zh-CN"/>
              </w:rPr>
              <w:t>年实际</w:t>
            </w:r>
            <w:r>
              <w:rPr>
                <w:rFonts w:hint="default" w:ascii="Times New Roman" w:hAnsi="Times New Roman" w:eastAsia="宋体" w:cs="Times New Roman"/>
                <w:color w:val="auto"/>
                <w:szCs w:val="21"/>
              </w:rPr>
              <w:t>取水量</w:t>
            </w:r>
            <w:r>
              <w:rPr>
                <w:rFonts w:hint="default" w:ascii="Times New Roman" w:hAnsi="Times New Roman" w:cs="Times New Roman"/>
                <w:color w:val="auto"/>
                <w:szCs w:val="21"/>
                <w:lang w:val="en-US" w:eastAsia="zh-CN"/>
              </w:rPr>
              <w:t>不大于年设计取水量</w:t>
            </w:r>
            <w:r>
              <w:rPr>
                <w:rFonts w:hint="default" w:ascii="Times New Roman" w:hAnsi="Times New Roman" w:eastAsia="宋体" w:cs="Times New Roman"/>
                <w:color w:val="auto"/>
                <w:szCs w:val="21"/>
              </w:rPr>
              <w:t>。</w:t>
            </w:r>
          </w:p>
        </w:tc>
        <w:tc>
          <w:tcPr>
            <w:tcW w:w="800" w:type="dxa"/>
            <w:noWrap w:val="0"/>
            <w:vAlign w:val="center"/>
          </w:tcPr>
          <w:p w14:paraId="27C8FB5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6DBDFD10">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7BDF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19C4BADC">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noWrap w:val="0"/>
            <w:vAlign w:val="center"/>
          </w:tcPr>
          <w:p w14:paraId="0B75655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4.2水质</w:t>
            </w:r>
          </w:p>
        </w:tc>
        <w:tc>
          <w:tcPr>
            <w:tcW w:w="5467" w:type="dxa"/>
            <w:gridSpan w:val="2"/>
            <w:noWrap w:val="0"/>
            <w:vAlign w:val="center"/>
          </w:tcPr>
          <w:p w14:paraId="3F79202B">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地下</w:t>
            </w:r>
            <w:r>
              <w:rPr>
                <w:rFonts w:hint="default" w:ascii="Times New Roman" w:hAnsi="Times New Roman" w:eastAsia="宋体" w:cs="Times New Roman"/>
                <w:color w:val="auto"/>
                <w:szCs w:val="21"/>
              </w:rPr>
              <w:t>水饮用水水源水质满足 GB</w:t>
            </w:r>
            <w:r>
              <w:rPr>
                <w:rFonts w:hint="default" w:ascii="Times New Roman" w:hAnsi="Times New Roman" w:cs="Times New Roman"/>
                <w:color w:val="auto"/>
                <w:szCs w:val="21"/>
                <w:lang w:val="en-US" w:eastAsia="zh-CN"/>
              </w:rPr>
              <w:t>/T</w:t>
            </w:r>
            <w:r>
              <w:rPr>
                <w:rFonts w:hint="default" w:ascii="Times New Roman" w:hAnsi="Times New Roman" w:eastAsia="宋体" w:cs="Times New Roman"/>
                <w:color w:val="auto"/>
                <w:szCs w:val="21"/>
              </w:rPr>
              <w:t xml:space="preserve"> </w:t>
            </w:r>
            <w:r>
              <w:rPr>
                <w:rFonts w:hint="default" w:ascii="Times New Roman" w:hAnsi="Times New Roman" w:cs="Times New Roman"/>
                <w:color w:val="auto"/>
                <w:szCs w:val="21"/>
                <w:lang w:val="en-US" w:eastAsia="zh-CN"/>
              </w:rPr>
              <w:t>14848</w:t>
            </w:r>
            <w:r>
              <w:rPr>
                <w:rFonts w:hint="default" w:ascii="Times New Roman" w:hAnsi="Times New Roman" w:eastAsia="宋体" w:cs="Times New Roman"/>
                <w:color w:val="auto"/>
                <w:szCs w:val="21"/>
              </w:rPr>
              <w:t xml:space="preserve"> 要求。</w:t>
            </w:r>
          </w:p>
        </w:tc>
        <w:tc>
          <w:tcPr>
            <w:tcW w:w="800" w:type="dxa"/>
            <w:noWrap w:val="0"/>
            <w:vAlign w:val="center"/>
          </w:tcPr>
          <w:p w14:paraId="08701163">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6835008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3AD5E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40" w:hRule="atLeast"/>
          <w:jc w:val="center"/>
        </w:trPr>
        <w:tc>
          <w:tcPr>
            <w:tcW w:w="796" w:type="dxa"/>
            <w:vMerge w:val="restart"/>
            <w:noWrap w:val="0"/>
            <w:vAlign w:val="center"/>
          </w:tcPr>
          <w:p w14:paraId="22D34DDC">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 保护区建设要求</w:t>
            </w:r>
          </w:p>
        </w:tc>
        <w:tc>
          <w:tcPr>
            <w:tcW w:w="799" w:type="dxa"/>
            <w:vMerge w:val="restart"/>
            <w:noWrap w:val="0"/>
            <w:vAlign w:val="center"/>
          </w:tcPr>
          <w:p w14:paraId="37BDF16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5.1保护区划分</w:t>
            </w:r>
          </w:p>
        </w:tc>
        <w:tc>
          <w:tcPr>
            <w:tcW w:w="5467" w:type="dxa"/>
            <w:gridSpan w:val="2"/>
            <w:noWrap w:val="0"/>
            <w:vAlign w:val="center"/>
          </w:tcPr>
          <w:p w14:paraId="302BD264">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5.1.1 依据 HJ/T 338，结合饮用水水源地实际情况划定饮用水水源保护区。</w:t>
            </w:r>
          </w:p>
        </w:tc>
        <w:tc>
          <w:tcPr>
            <w:tcW w:w="800" w:type="dxa"/>
            <w:noWrap w:val="0"/>
            <w:vAlign w:val="center"/>
          </w:tcPr>
          <w:p w14:paraId="3F409F7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2893B94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7B649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696782B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0AD40190">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377E2D79">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5.1.2 饮用水水源保护区划分方案依法审批并颁布实施。</w:t>
            </w:r>
          </w:p>
        </w:tc>
        <w:tc>
          <w:tcPr>
            <w:tcW w:w="800" w:type="dxa"/>
            <w:noWrap w:val="0"/>
            <w:vAlign w:val="center"/>
          </w:tcPr>
          <w:p w14:paraId="5D5673A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3EA9FB7E">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0E3C9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1CC7BE22">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restart"/>
            <w:noWrap w:val="0"/>
            <w:vAlign w:val="center"/>
          </w:tcPr>
          <w:p w14:paraId="7FC1FE8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5.2 保护区标志设置</w:t>
            </w:r>
          </w:p>
        </w:tc>
        <w:tc>
          <w:tcPr>
            <w:tcW w:w="5467" w:type="dxa"/>
            <w:gridSpan w:val="2"/>
            <w:noWrap w:val="0"/>
            <w:vAlign w:val="center"/>
          </w:tcPr>
          <w:p w14:paraId="2AFADEB3">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5.2.1 依据 HJ/T 433，设置界碑、交通警示牌和宣传牌等标识，且状态完好。</w:t>
            </w:r>
          </w:p>
        </w:tc>
        <w:tc>
          <w:tcPr>
            <w:tcW w:w="800" w:type="dxa"/>
            <w:noWrap w:val="0"/>
            <w:vAlign w:val="center"/>
          </w:tcPr>
          <w:p w14:paraId="3604009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29986DB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7CDCF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2BAE7A13">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6E71372E">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4D3DC543">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5.2.2 保护区内道路、航道警示标志的设置，符合 GB 5768 和 GB 5863 要求。</w:t>
            </w:r>
          </w:p>
        </w:tc>
        <w:tc>
          <w:tcPr>
            <w:tcW w:w="800" w:type="dxa"/>
            <w:noWrap w:val="0"/>
            <w:vAlign w:val="center"/>
          </w:tcPr>
          <w:p w14:paraId="2903044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不</w:t>
            </w:r>
            <w:r>
              <w:rPr>
                <w:rFonts w:hint="default" w:ascii="Times New Roman" w:hAnsi="Times New Roman" w:eastAsia="宋体" w:cs="Times New Roman"/>
                <w:color w:val="auto"/>
                <w:szCs w:val="21"/>
              </w:rPr>
              <w:t>适用</w:t>
            </w:r>
          </w:p>
        </w:tc>
        <w:tc>
          <w:tcPr>
            <w:tcW w:w="666" w:type="dxa"/>
            <w:noWrap w:val="0"/>
            <w:vAlign w:val="center"/>
          </w:tcPr>
          <w:p w14:paraId="5725631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w:t>
            </w:r>
          </w:p>
        </w:tc>
      </w:tr>
      <w:tr w14:paraId="22036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76F9F97C">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restart"/>
            <w:noWrap w:val="0"/>
            <w:vAlign w:val="center"/>
          </w:tcPr>
          <w:p w14:paraId="22698B7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 隔离防护</w:t>
            </w:r>
          </w:p>
        </w:tc>
        <w:tc>
          <w:tcPr>
            <w:tcW w:w="5467" w:type="dxa"/>
            <w:gridSpan w:val="2"/>
            <w:noWrap w:val="0"/>
            <w:vAlign w:val="center"/>
          </w:tcPr>
          <w:p w14:paraId="65638601">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5.3.1 在一级保护区周边人类活动频繁的区域设置隔离防护设施。</w:t>
            </w:r>
          </w:p>
        </w:tc>
        <w:tc>
          <w:tcPr>
            <w:tcW w:w="800" w:type="dxa"/>
            <w:noWrap w:val="0"/>
            <w:vAlign w:val="center"/>
          </w:tcPr>
          <w:p w14:paraId="350D1249">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0D943C6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3A7B6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2C6AD296">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5327CDDC">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7436A5D2">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5.3.2 保护区内有道路交通穿越的地表水饮用水水源地和潜水型地下水饮用水水源地，建设防撞护栏、事故导流槽和应急池等设施。</w:t>
            </w:r>
          </w:p>
        </w:tc>
        <w:tc>
          <w:tcPr>
            <w:tcW w:w="800" w:type="dxa"/>
            <w:noWrap w:val="0"/>
            <w:vAlign w:val="center"/>
          </w:tcPr>
          <w:p w14:paraId="0DA181E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不适用</w:t>
            </w:r>
          </w:p>
        </w:tc>
        <w:tc>
          <w:tcPr>
            <w:tcW w:w="666" w:type="dxa"/>
            <w:noWrap w:val="0"/>
            <w:vAlign w:val="center"/>
          </w:tcPr>
          <w:p w14:paraId="796314F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4A2B0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17454B4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0656EDB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0F10235E">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5.3.3 穿越保护区的输油、输气管道采取防泄漏措施，必要时设置事故导流槽。</w:t>
            </w:r>
          </w:p>
        </w:tc>
        <w:tc>
          <w:tcPr>
            <w:tcW w:w="800" w:type="dxa"/>
            <w:noWrap w:val="0"/>
            <w:vAlign w:val="center"/>
          </w:tcPr>
          <w:p w14:paraId="0B41322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不适用</w:t>
            </w:r>
          </w:p>
        </w:tc>
        <w:tc>
          <w:tcPr>
            <w:tcW w:w="666" w:type="dxa"/>
            <w:noWrap w:val="0"/>
            <w:vAlign w:val="center"/>
          </w:tcPr>
          <w:p w14:paraId="4C840E4B">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65A14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750" w:hRule="atLeast"/>
          <w:jc w:val="center"/>
        </w:trPr>
        <w:tc>
          <w:tcPr>
            <w:tcW w:w="796" w:type="dxa"/>
            <w:vMerge w:val="restart"/>
            <w:noWrap w:val="0"/>
            <w:vAlign w:val="center"/>
          </w:tcPr>
          <w:p w14:paraId="1BFDE0C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 保护区整治要求</w:t>
            </w:r>
          </w:p>
        </w:tc>
        <w:tc>
          <w:tcPr>
            <w:tcW w:w="799" w:type="dxa"/>
            <w:vMerge w:val="restart"/>
            <w:noWrap w:val="0"/>
            <w:vAlign w:val="center"/>
          </w:tcPr>
          <w:p w14:paraId="415A80B6">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 一级保护区</w:t>
            </w:r>
          </w:p>
        </w:tc>
        <w:tc>
          <w:tcPr>
            <w:tcW w:w="5467" w:type="dxa"/>
            <w:gridSpan w:val="2"/>
            <w:noWrap w:val="0"/>
            <w:vAlign w:val="center"/>
          </w:tcPr>
          <w:p w14:paraId="14DCC820">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6.1.1 保护区内不存在与供水设施和保护水源无关的建设项目，保护区划定前已有的建设项目拆除或关闭，并视情进行生态修复。</w:t>
            </w:r>
          </w:p>
        </w:tc>
        <w:tc>
          <w:tcPr>
            <w:tcW w:w="800" w:type="dxa"/>
            <w:noWrap w:val="0"/>
            <w:vAlign w:val="center"/>
          </w:tcPr>
          <w:p w14:paraId="55E8BC82">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3189B92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2D1A6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600" w:hRule="atLeast"/>
          <w:jc w:val="center"/>
        </w:trPr>
        <w:tc>
          <w:tcPr>
            <w:tcW w:w="796" w:type="dxa"/>
            <w:vMerge w:val="continue"/>
            <w:noWrap w:val="0"/>
            <w:vAlign w:val="center"/>
          </w:tcPr>
          <w:p w14:paraId="6EDAA515">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7564CFC5">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6E6BFADC">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6.1.2 保护区内无工业、生活排污口。保护区划定前已有的工业排污口拆除或关闭，生活排污口关闭或迁出。</w:t>
            </w:r>
          </w:p>
        </w:tc>
        <w:tc>
          <w:tcPr>
            <w:tcW w:w="800" w:type="dxa"/>
            <w:noWrap w:val="0"/>
            <w:vAlign w:val="center"/>
          </w:tcPr>
          <w:p w14:paraId="238373A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61793E6C">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7F21A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645" w:hRule="atLeast"/>
          <w:jc w:val="center"/>
        </w:trPr>
        <w:tc>
          <w:tcPr>
            <w:tcW w:w="796" w:type="dxa"/>
            <w:vMerge w:val="continue"/>
            <w:noWrap w:val="0"/>
            <w:vAlign w:val="center"/>
          </w:tcPr>
          <w:p w14:paraId="755EFC9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6B1843B2">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6AD75E78">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6.1.3 保护区内无畜禽养殖、网箱养殖、旅游、游泳、垂钓或者其他可能污染水源的活动。保护区划定前已有的畜禽养殖、网箱养殖和旅游设施拆除或关闭。</w:t>
            </w:r>
          </w:p>
        </w:tc>
        <w:tc>
          <w:tcPr>
            <w:tcW w:w="800" w:type="dxa"/>
            <w:noWrap w:val="0"/>
            <w:vAlign w:val="center"/>
          </w:tcPr>
          <w:p w14:paraId="431F685B">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14CC8325">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73BA8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09" w:hRule="atLeast"/>
          <w:jc w:val="center"/>
        </w:trPr>
        <w:tc>
          <w:tcPr>
            <w:tcW w:w="796" w:type="dxa"/>
            <w:vMerge w:val="continue"/>
            <w:noWrap w:val="0"/>
            <w:vAlign w:val="center"/>
          </w:tcPr>
          <w:p w14:paraId="29BD1E45">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3F33C586">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7A7AFAE6">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6.1.4 保护区内无新增农业种植和经济林。保护区划定前已有的农业种植和经济林，严格控制化肥、农药等非点源污染，并逐步退出。</w:t>
            </w:r>
          </w:p>
        </w:tc>
        <w:tc>
          <w:tcPr>
            <w:tcW w:w="800" w:type="dxa"/>
            <w:noWrap w:val="0"/>
            <w:vAlign w:val="center"/>
          </w:tcPr>
          <w:p w14:paraId="79D765C9">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3CC534BF">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1E660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86" w:hRule="atLeast"/>
          <w:jc w:val="center"/>
        </w:trPr>
        <w:tc>
          <w:tcPr>
            <w:tcW w:w="796" w:type="dxa"/>
            <w:vMerge w:val="continue"/>
            <w:noWrap w:val="0"/>
            <w:vAlign w:val="center"/>
          </w:tcPr>
          <w:p w14:paraId="0199568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restart"/>
            <w:noWrap w:val="0"/>
            <w:vAlign w:val="center"/>
          </w:tcPr>
          <w:p w14:paraId="43DB145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6.2准保护区</w:t>
            </w:r>
          </w:p>
        </w:tc>
        <w:tc>
          <w:tcPr>
            <w:tcW w:w="5467" w:type="dxa"/>
            <w:gridSpan w:val="2"/>
            <w:noWrap w:val="0"/>
            <w:vAlign w:val="center"/>
          </w:tcPr>
          <w:p w14:paraId="660AAA2C">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准保护区内无新建、扩建制药、化工、造纸、制革、印染、染料、炼焦、炼硫、炼砷、炼油、电镀、农药等对水体污染严重的建设项目；保护区划定前已有的上述建设项目不得增加排污量并逐步搬出。</w:t>
            </w:r>
          </w:p>
        </w:tc>
        <w:tc>
          <w:tcPr>
            <w:tcW w:w="800" w:type="dxa"/>
            <w:noWrap w:val="0"/>
            <w:vAlign w:val="center"/>
          </w:tcPr>
          <w:p w14:paraId="4057CC70">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适用</w:t>
            </w:r>
          </w:p>
        </w:tc>
        <w:tc>
          <w:tcPr>
            <w:tcW w:w="666" w:type="dxa"/>
            <w:noWrap w:val="0"/>
            <w:vAlign w:val="center"/>
          </w:tcPr>
          <w:p w14:paraId="40268007">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42432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79" w:hRule="atLeast"/>
          <w:jc w:val="center"/>
        </w:trPr>
        <w:tc>
          <w:tcPr>
            <w:tcW w:w="796" w:type="dxa"/>
            <w:vMerge w:val="continue"/>
            <w:noWrap w:val="0"/>
            <w:vAlign w:val="center"/>
          </w:tcPr>
          <w:p w14:paraId="666FD015">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3D045B4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64AD074F">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准保护区内无易溶性、有毒有害废弃物暂存和转运站，并严格控制采矿、采砂等活动。</w:t>
            </w:r>
          </w:p>
        </w:tc>
        <w:tc>
          <w:tcPr>
            <w:tcW w:w="800" w:type="dxa"/>
            <w:noWrap w:val="0"/>
            <w:vAlign w:val="center"/>
          </w:tcPr>
          <w:p w14:paraId="52A3AF63">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适用</w:t>
            </w:r>
          </w:p>
        </w:tc>
        <w:tc>
          <w:tcPr>
            <w:tcW w:w="666" w:type="dxa"/>
            <w:noWrap w:val="0"/>
            <w:vAlign w:val="center"/>
          </w:tcPr>
          <w:p w14:paraId="0962BE05">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554E0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11" w:hRule="atLeast"/>
          <w:jc w:val="center"/>
        </w:trPr>
        <w:tc>
          <w:tcPr>
            <w:tcW w:w="796" w:type="dxa"/>
            <w:vMerge w:val="continue"/>
            <w:noWrap w:val="0"/>
            <w:vAlign w:val="center"/>
          </w:tcPr>
          <w:p w14:paraId="739AD62C">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6A40E3B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001F9E94">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准保护区内工业园区企业的第一类水污染物达到车间排放要求、常规污染物达到间接排放标准后，进入园区污水处理厂集中处理。</w:t>
            </w:r>
          </w:p>
        </w:tc>
        <w:tc>
          <w:tcPr>
            <w:tcW w:w="800" w:type="dxa"/>
            <w:noWrap w:val="0"/>
            <w:vAlign w:val="center"/>
          </w:tcPr>
          <w:p w14:paraId="35F241B1">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不适用</w:t>
            </w:r>
          </w:p>
        </w:tc>
        <w:tc>
          <w:tcPr>
            <w:tcW w:w="666" w:type="dxa"/>
            <w:noWrap w:val="0"/>
            <w:vAlign w:val="center"/>
          </w:tcPr>
          <w:p w14:paraId="2DF355C4">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t>
            </w:r>
          </w:p>
        </w:tc>
      </w:tr>
      <w:tr w14:paraId="79529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11" w:hRule="atLeast"/>
          <w:jc w:val="center"/>
        </w:trPr>
        <w:tc>
          <w:tcPr>
            <w:tcW w:w="796" w:type="dxa"/>
            <w:vMerge w:val="continue"/>
            <w:noWrap w:val="0"/>
            <w:vAlign w:val="center"/>
          </w:tcPr>
          <w:p w14:paraId="5B958D63">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48BA789F">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242F37F5">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不能满足水质要求的地表水饮用水水源，准保护区或汇水区域采取水污染物容量总量控制措施，限期达标。</w:t>
            </w:r>
          </w:p>
        </w:tc>
        <w:tc>
          <w:tcPr>
            <w:tcW w:w="800" w:type="dxa"/>
            <w:noWrap w:val="0"/>
            <w:vAlign w:val="center"/>
          </w:tcPr>
          <w:p w14:paraId="38BB1973">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不适用</w:t>
            </w:r>
          </w:p>
        </w:tc>
        <w:tc>
          <w:tcPr>
            <w:tcW w:w="666" w:type="dxa"/>
            <w:noWrap w:val="0"/>
            <w:vAlign w:val="center"/>
          </w:tcPr>
          <w:p w14:paraId="716C0FE0">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t>
            </w:r>
          </w:p>
        </w:tc>
      </w:tr>
      <w:tr w14:paraId="726C8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54" w:hRule="atLeast"/>
          <w:jc w:val="center"/>
        </w:trPr>
        <w:tc>
          <w:tcPr>
            <w:tcW w:w="796" w:type="dxa"/>
            <w:vMerge w:val="continue"/>
            <w:noWrap w:val="0"/>
            <w:vAlign w:val="center"/>
          </w:tcPr>
          <w:p w14:paraId="78398265">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0A54E7A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2CF58E10">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准保护区无毁林开荒行为，水源涵养林建设满足</w:t>
            </w:r>
            <w:r>
              <w:rPr>
                <w:rFonts w:hint="eastAsia" w:ascii="Times New Roman" w:hAnsi="Times New Roman" w:cs="Times New Roman"/>
                <w:color w:val="auto"/>
                <w:szCs w:val="21"/>
                <w:lang w:val="en-US" w:eastAsia="zh-CN"/>
              </w:rPr>
              <w:t>GB/T26903要求。</w:t>
            </w:r>
          </w:p>
        </w:tc>
        <w:tc>
          <w:tcPr>
            <w:tcW w:w="800" w:type="dxa"/>
            <w:noWrap w:val="0"/>
            <w:vAlign w:val="center"/>
          </w:tcPr>
          <w:p w14:paraId="5C5BF9BB">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适用</w:t>
            </w:r>
          </w:p>
        </w:tc>
        <w:tc>
          <w:tcPr>
            <w:tcW w:w="666" w:type="dxa"/>
            <w:noWrap w:val="0"/>
            <w:vAlign w:val="center"/>
          </w:tcPr>
          <w:p w14:paraId="08174433">
            <w:pPr>
              <w:keepNext w:val="0"/>
              <w:keepLines w:val="0"/>
              <w:pageBreakBefore w:val="0"/>
              <w:widowControl w:val="0"/>
              <w:suppressLineNumbers w:val="0"/>
              <w:tabs>
                <w:tab w:val="left" w:pos="1005"/>
              </w:tabs>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4B39D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600" w:hRule="atLeast"/>
          <w:jc w:val="center"/>
        </w:trPr>
        <w:tc>
          <w:tcPr>
            <w:tcW w:w="796" w:type="dxa"/>
            <w:vMerge w:val="restart"/>
            <w:noWrap w:val="0"/>
            <w:vAlign w:val="center"/>
          </w:tcPr>
          <w:p w14:paraId="6004EAA0">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 监控能力建设要求</w:t>
            </w:r>
          </w:p>
        </w:tc>
        <w:tc>
          <w:tcPr>
            <w:tcW w:w="799" w:type="dxa"/>
            <w:vMerge w:val="restart"/>
            <w:noWrap w:val="0"/>
            <w:vAlign w:val="center"/>
          </w:tcPr>
          <w:p w14:paraId="42E3D43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 常规监测</w:t>
            </w:r>
          </w:p>
        </w:tc>
        <w:tc>
          <w:tcPr>
            <w:tcW w:w="904" w:type="dxa"/>
            <w:noWrap w:val="0"/>
            <w:vAlign w:val="center"/>
          </w:tcPr>
          <w:p w14:paraId="5F48EAEB">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7.1.1 监测断面设置</w:t>
            </w:r>
          </w:p>
        </w:tc>
        <w:tc>
          <w:tcPr>
            <w:tcW w:w="4563" w:type="dxa"/>
            <w:noWrap w:val="0"/>
            <w:vAlign w:val="center"/>
          </w:tcPr>
          <w:p w14:paraId="59BFFB64">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7.1.1.</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 xml:space="preserve"> </w:t>
            </w:r>
            <w:r>
              <w:rPr>
                <w:rFonts w:hint="default" w:ascii="Times New Roman" w:hAnsi="Times New Roman" w:cs="Times New Roman"/>
                <w:color w:val="auto"/>
                <w:szCs w:val="21"/>
                <w:lang w:val="en-US" w:eastAsia="zh-CN"/>
              </w:rPr>
              <w:t>地下水行饮用水源：可在抽水井设置监测点；不具备条件的，可在水厂汇水池（加氯前）设置监测点</w:t>
            </w:r>
            <w:r>
              <w:rPr>
                <w:rFonts w:hint="default" w:ascii="Times New Roman" w:hAnsi="Times New Roman" w:eastAsia="宋体" w:cs="Times New Roman"/>
                <w:color w:val="auto"/>
                <w:szCs w:val="21"/>
              </w:rPr>
              <w:t>。</w:t>
            </w:r>
          </w:p>
        </w:tc>
        <w:tc>
          <w:tcPr>
            <w:tcW w:w="800" w:type="dxa"/>
            <w:noWrap w:val="0"/>
            <w:vAlign w:val="center"/>
          </w:tcPr>
          <w:p w14:paraId="46AC2FC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3DEDFD93">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4D49E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40" w:hRule="atLeast"/>
          <w:jc w:val="center"/>
        </w:trPr>
        <w:tc>
          <w:tcPr>
            <w:tcW w:w="796" w:type="dxa"/>
            <w:vMerge w:val="continue"/>
            <w:noWrap w:val="0"/>
            <w:vAlign w:val="center"/>
          </w:tcPr>
          <w:p w14:paraId="56A01E6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7B87FFD0">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904" w:type="dxa"/>
            <w:noWrap w:val="0"/>
            <w:vAlign w:val="center"/>
          </w:tcPr>
          <w:p w14:paraId="5126E788">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7.1.2 监测指标及频次</w:t>
            </w:r>
          </w:p>
        </w:tc>
        <w:tc>
          <w:tcPr>
            <w:tcW w:w="4563" w:type="dxa"/>
            <w:noWrap w:val="0"/>
            <w:vAlign w:val="center"/>
          </w:tcPr>
          <w:p w14:paraId="0E905754">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按照各级环境保护主管部门每年下达的监测计划实施。</w:t>
            </w:r>
          </w:p>
        </w:tc>
        <w:tc>
          <w:tcPr>
            <w:tcW w:w="800" w:type="dxa"/>
            <w:noWrap w:val="0"/>
            <w:vAlign w:val="center"/>
          </w:tcPr>
          <w:p w14:paraId="6966AAFF">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5F10E1B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3F146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095" w:hRule="atLeast"/>
          <w:jc w:val="center"/>
        </w:trPr>
        <w:tc>
          <w:tcPr>
            <w:tcW w:w="796" w:type="dxa"/>
            <w:vMerge w:val="continue"/>
            <w:noWrap w:val="0"/>
            <w:vAlign w:val="center"/>
          </w:tcPr>
          <w:p w14:paraId="28DEF1D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restart"/>
            <w:noWrap w:val="0"/>
            <w:vAlign w:val="center"/>
          </w:tcPr>
          <w:p w14:paraId="24D2E4E6">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7.3 视频监控</w:t>
            </w:r>
          </w:p>
        </w:tc>
        <w:tc>
          <w:tcPr>
            <w:tcW w:w="5467" w:type="dxa"/>
            <w:gridSpan w:val="2"/>
            <w:noWrap w:val="0"/>
            <w:vAlign w:val="center"/>
          </w:tcPr>
          <w:p w14:paraId="0F00BE4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7.3.1 日供水规模超过10万m</w:t>
            </w:r>
            <w:r>
              <w:rPr>
                <w:rFonts w:hint="default" w:ascii="Times New Roman" w:hAnsi="Times New Roman" w:eastAsia="宋体" w:cs="Times New Roman"/>
                <w:color w:val="auto"/>
                <w:szCs w:val="21"/>
                <w:vertAlign w:val="superscript"/>
              </w:rPr>
              <w:t xml:space="preserve"> 3</w:t>
            </w:r>
            <w:r>
              <w:rPr>
                <w:rFonts w:hint="default" w:ascii="Times New Roman" w:hAnsi="Times New Roman" w:eastAsia="宋体" w:cs="Times New Roman"/>
                <w:color w:val="auto"/>
                <w:szCs w:val="21"/>
              </w:rPr>
              <w:t xml:space="preserve">（含）的地表水饮用水水源地，在取水口、一级保护区及交通穿越的区域安装视频监控；日供水规模超过5万m </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（含）的地下水饮用水水源地，在取水口和一级保护区安装视频监控。</w:t>
            </w:r>
          </w:p>
        </w:tc>
        <w:tc>
          <w:tcPr>
            <w:tcW w:w="800" w:type="dxa"/>
            <w:noWrap w:val="0"/>
            <w:vAlign w:val="center"/>
          </w:tcPr>
          <w:p w14:paraId="26FD0963">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不</w:t>
            </w:r>
            <w:r>
              <w:rPr>
                <w:rFonts w:hint="default" w:ascii="Times New Roman" w:hAnsi="Times New Roman" w:eastAsia="宋体" w:cs="Times New Roman"/>
                <w:color w:val="auto"/>
                <w:szCs w:val="21"/>
              </w:rPr>
              <w:t>适用</w:t>
            </w:r>
          </w:p>
        </w:tc>
        <w:tc>
          <w:tcPr>
            <w:tcW w:w="666" w:type="dxa"/>
            <w:noWrap w:val="0"/>
            <w:vAlign w:val="center"/>
          </w:tcPr>
          <w:p w14:paraId="0C88CB4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42431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765" w:hRule="atLeast"/>
          <w:jc w:val="center"/>
        </w:trPr>
        <w:tc>
          <w:tcPr>
            <w:tcW w:w="796" w:type="dxa"/>
            <w:vMerge w:val="continue"/>
            <w:noWrap w:val="0"/>
            <w:vAlign w:val="center"/>
          </w:tcPr>
          <w:p w14:paraId="4ECAF84E">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31A0B50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60A53E56">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7.3.2 饮用水水源地视频监控系统与水厂和环保部门的监控系统平台实现数据共享。</w:t>
            </w:r>
          </w:p>
        </w:tc>
        <w:tc>
          <w:tcPr>
            <w:tcW w:w="800" w:type="dxa"/>
            <w:noWrap w:val="0"/>
            <w:vAlign w:val="center"/>
          </w:tcPr>
          <w:p w14:paraId="68B5973F">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2E4A4AC0">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4281D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85" w:hRule="atLeast"/>
          <w:jc w:val="center"/>
        </w:trPr>
        <w:tc>
          <w:tcPr>
            <w:tcW w:w="796" w:type="dxa"/>
            <w:vMerge w:val="restart"/>
            <w:noWrap w:val="0"/>
            <w:vAlign w:val="center"/>
          </w:tcPr>
          <w:p w14:paraId="01ED051B">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 风险防控与应急能力建设要求</w:t>
            </w:r>
          </w:p>
        </w:tc>
        <w:tc>
          <w:tcPr>
            <w:tcW w:w="799" w:type="dxa"/>
            <w:vMerge w:val="restart"/>
            <w:noWrap w:val="0"/>
            <w:vAlign w:val="center"/>
          </w:tcPr>
          <w:p w14:paraId="5B7EDCE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8.1 风险识别与防范</w:t>
            </w:r>
          </w:p>
        </w:tc>
        <w:tc>
          <w:tcPr>
            <w:tcW w:w="5467" w:type="dxa"/>
            <w:gridSpan w:val="2"/>
            <w:noWrap w:val="0"/>
            <w:vAlign w:val="center"/>
          </w:tcPr>
          <w:p w14:paraId="08BA1022">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8.1.1 具备饮用水水源保护区及影响范围内风险源名录和风险防控方案。</w:t>
            </w:r>
          </w:p>
        </w:tc>
        <w:tc>
          <w:tcPr>
            <w:tcW w:w="800" w:type="dxa"/>
            <w:noWrap w:val="0"/>
            <w:vAlign w:val="center"/>
          </w:tcPr>
          <w:p w14:paraId="22AF9E0C">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60120706">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35655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55" w:hRule="atLeast"/>
          <w:jc w:val="center"/>
        </w:trPr>
        <w:tc>
          <w:tcPr>
            <w:tcW w:w="796" w:type="dxa"/>
            <w:vMerge w:val="continue"/>
            <w:noWrap w:val="0"/>
            <w:vAlign w:val="center"/>
          </w:tcPr>
          <w:p w14:paraId="4B078C3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33868ADB">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27BD1CAE">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8.1.2 定期或不定期开展饮用水水源地周边环境安全隐患排查及饮用水水源地环境风险评估。</w:t>
            </w:r>
          </w:p>
        </w:tc>
        <w:tc>
          <w:tcPr>
            <w:tcW w:w="800" w:type="dxa"/>
            <w:noWrap w:val="0"/>
            <w:vAlign w:val="center"/>
          </w:tcPr>
          <w:p w14:paraId="78511B7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5C545E4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22096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70" w:hRule="atLeast"/>
          <w:jc w:val="center"/>
        </w:trPr>
        <w:tc>
          <w:tcPr>
            <w:tcW w:w="796" w:type="dxa"/>
            <w:vMerge w:val="continue"/>
            <w:noWrap w:val="0"/>
            <w:vAlign w:val="center"/>
          </w:tcPr>
          <w:p w14:paraId="78BAB552">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restart"/>
            <w:noWrap w:val="0"/>
            <w:vAlign w:val="center"/>
          </w:tcPr>
          <w:p w14:paraId="0FAC1266">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 应急能力</w:t>
            </w:r>
          </w:p>
        </w:tc>
        <w:tc>
          <w:tcPr>
            <w:tcW w:w="5467" w:type="dxa"/>
            <w:gridSpan w:val="2"/>
            <w:noWrap w:val="0"/>
            <w:vAlign w:val="center"/>
          </w:tcPr>
          <w:p w14:paraId="6398F89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8.2.1 饮用水水源地有专项应急预案，做到“一源一案”，按照环境保护主管部门要求备案并期演练和修订预案。</w:t>
            </w:r>
          </w:p>
        </w:tc>
        <w:tc>
          <w:tcPr>
            <w:tcW w:w="800" w:type="dxa"/>
            <w:noWrap w:val="0"/>
            <w:vAlign w:val="center"/>
          </w:tcPr>
          <w:p w14:paraId="5ACCBA3B">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21F9AF0C">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4DD07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795" w:hRule="atLeast"/>
          <w:jc w:val="center"/>
        </w:trPr>
        <w:tc>
          <w:tcPr>
            <w:tcW w:w="796" w:type="dxa"/>
            <w:vMerge w:val="continue"/>
            <w:noWrap w:val="0"/>
            <w:vAlign w:val="center"/>
          </w:tcPr>
          <w:p w14:paraId="2ED5AE4E">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3023F48A">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6ED46D97">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8.2.2 饮用水水源地周边高风险区域设有应急物资（装备）储备库及事故应急池等应急防护工程，上游连接水体设有节制闸、拦污坝、导流渠、调水沟渠等防护工程设施。</w:t>
            </w:r>
          </w:p>
        </w:tc>
        <w:tc>
          <w:tcPr>
            <w:tcW w:w="800" w:type="dxa"/>
            <w:noWrap w:val="0"/>
            <w:vAlign w:val="center"/>
          </w:tcPr>
          <w:p w14:paraId="6F074E4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不适用</w:t>
            </w:r>
          </w:p>
        </w:tc>
        <w:tc>
          <w:tcPr>
            <w:tcW w:w="666" w:type="dxa"/>
            <w:noWrap w:val="0"/>
            <w:vAlign w:val="center"/>
          </w:tcPr>
          <w:p w14:paraId="22CFE33B">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5084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55" w:hRule="atLeast"/>
          <w:jc w:val="center"/>
        </w:trPr>
        <w:tc>
          <w:tcPr>
            <w:tcW w:w="796" w:type="dxa"/>
            <w:vMerge w:val="continue"/>
            <w:noWrap w:val="0"/>
            <w:vAlign w:val="center"/>
          </w:tcPr>
          <w:p w14:paraId="571834D2">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6A7945C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7034E715">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8.2.3 具备饮用水水源地突发环境事件应急处置技术方案及应急专家库。</w:t>
            </w:r>
          </w:p>
        </w:tc>
        <w:tc>
          <w:tcPr>
            <w:tcW w:w="800" w:type="dxa"/>
            <w:noWrap w:val="0"/>
            <w:vAlign w:val="center"/>
          </w:tcPr>
          <w:p w14:paraId="516A5E4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18BB32C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6474C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29DC9F9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799" w:type="dxa"/>
            <w:vMerge w:val="continue"/>
            <w:noWrap w:val="0"/>
            <w:vAlign w:val="center"/>
          </w:tcPr>
          <w:p w14:paraId="43E61E7B">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5467" w:type="dxa"/>
            <w:gridSpan w:val="2"/>
            <w:noWrap w:val="0"/>
            <w:vAlign w:val="center"/>
          </w:tcPr>
          <w:p w14:paraId="076504C3">
            <w:pPr>
              <w:keepNext w:val="0"/>
              <w:keepLines w:val="0"/>
              <w:suppressLineNumbers w:val="0"/>
              <w:tabs>
                <w:tab w:val="left" w:pos="1005"/>
              </w:tabs>
              <w:spacing w:before="0" w:beforeAutospacing="0" w:after="0" w:afterAutospacing="0" w:line="280" w:lineRule="exact"/>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8.2.4 具备应急监测能力。</w:t>
            </w:r>
          </w:p>
        </w:tc>
        <w:tc>
          <w:tcPr>
            <w:tcW w:w="800" w:type="dxa"/>
            <w:noWrap w:val="0"/>
            <w:vAlign w:val="center"/>
          </w:tcPr>
          <w:p w14:paraId="2827F764">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380054B5">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1B5B8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600" w:hRule="atLeast"/>
          <w:jc w:val="center"/>
        </w:trPr>
        <w:tc>
          <w:tcPr>
            <w:tcW w:w="796" w:type="dxa"/>
            <w:vMerge w:val="restart"/>
            <w:noWrap w:val="0"/>
            <w:vAlign w:val="center"/>
          </w:tcPr>
          <w:p w14:paraId="51659DD9">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 管理措施要求</w:t>
            </w:r>
          </w:p>
        </w:tc>
        <w:tc>
          <w:tcPr>
            <w:tcW w:w="6266" w:type="dxa"/>
            <w:gridSpan w:val="3"/>
            <w:noWrap w:val="0"/>
            <w:vAlign w:val="center"/>
          </w:tcPr>
          <w:p w14:paraId="5F92F3BE">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9.1 饮用水水源地名称规范，编码依据 HJ 747 编制，档案完整，做到“一源一档”。</w:t>
            </w:r>
          </w:p>
        </w:tc>
        <w:tc>
          <w:tcPr>
            <w:tcW w:w="800" w:type="dxa"/>
            <w:noWrap w:val="0"/>
            <w:vAlign w:val="center"/>
          </w:tcPr>
          <w:p w14:paraId="0A88D1D6">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55FEFE6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5B6A0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5" w:hRule="atLeast"/>
          <w:jc w:val="center"/>
        </w:trPr>
        <w:tc>
          <w:tcPr>
            <w:tcW w:w="796" w:type="dxa"/>
            <w:vMerge w:val="continue"/>
            <w:noWrap w:val="0"/>
            <w:vAlign w:val="center"/>
          </w:tcPr>
          <w:p w14:paraId="083A3B4B">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6266" w:type="dxa"/>
            <w:gridSpan w:val="3"/>
            <w:noWrap w:val="0"/>
            <w:vAlign w:val="center"/>
          </w:tcPr>
          <w:p w14:paraId="26A3F8DB">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9.2 按照环境监察要求定期巡查。</w:t>
            </w:r>
          </w:p>
        </w:tc>
        <w:tc>
          <w:tcPr>
            <w:tcW w:w="800" w:type="dxa"/>
            <w:noWrap w:val="0"/>
            <w:vAlign w:val="center"/>
          </w:tcPr>
          <w:p w14:paraId="77D972DE">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288F9FF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7676D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435" w:hRule="atLeast"/>
          <w:jc w:val="center"/>
        </w:trPr>
        <w:tc>
          <w:tcPr>
            <w:tcW w:w="796" w:type="dxa"/>
            <w:vMerge w:val="continue"/>
            <w:noWrap w:val="0"/>
            <w:vAlign w:val="center"/>
          </w:tcPr>
          <w:p w14:paraId="6BF5D340">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6266" w:type="dxa"/>
            <w:gridSpan w:val="3"/>
            <w:noWrap w:val="0"/>
            <w:vAlign w:val="center"/>
          </w:tcPr>
          <w:p w14:paraId="55B03E33">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9.3 定期开展饮用水水源地环境状况评估。</w:t>
            </w:r>
          </w:p>
        </w:tc>
        <w:tc>
          <w:tcPr>
            <w:tcW w:w="800" w:type="dxa"/>
            <w:noWrap w:val="0"/>
            <w:vAlign w:val="center"/>
          </w:tcPr>
          <w:p w14:paraId="1E48563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7C320A8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34BB3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420" w:hRule="atLeast"/>
          <w:jc w:val="center"/>
        </w:trPr>
        <w:tc>
          <w:tcPr>
            <w:tcW w:w="796" w:type="dxa"/>
            <w:vMerge w:val="continue"/>
            <w:noWrap w:val="0"/>
            <w:vAlign w:val="center"/>
          </w:tcPr>
          <w:p w14:paraId="482BF87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6266" w:type="dxa"/>
            <w:gridSpan w:val="3"/>
            <w:noWrap w:val="0"/>
            <w:vAlign w:val="center"/>
          </w:tcPr>
          <w:p w14:paraId="08FA1897">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9.4 饮用水水源地信息化管理平台完善。</w:t>
            </w:r>
          </w:p>
        </w:tc>
        <w:tc>
          <w:tcPr>
            <w:tcW w:w="800" w:type="dxa"/>
            <w:noWrap w:val="0"/>
            <w:vAlign w:val="center"/>
          </w:tcPr>
          <w:p w14:paraId="20BA3A39">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7387C8B1">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306B2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00" w:hRule="atLeast"/>
          <w:jc w:val="center"/>
        </w:trPr>
        <w:tc>
          <w:tcPr>
            <w:tcW w:w="796" w:type="dxa"/>
            <w:vMerge w:val="continue"/>
            <w:noWrap w:val="0"/>
            <w:vAlign w:val="center"/>
          </w:tcPr>
          <w:p w14:paraId="561691D3">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p>
        </w:tc>
        <w:tc>
          <w:tcPr>
            <w:tcW w:w="6266" w:type="dxa"/>
            <w:gridSpan w:val="3"/>
            <w:noWrap w:val="0"/>
            <w:vAlign w:val="center"/>
          </w:tcPr>
          <w:p w14:paraId="14BE1628">
            <w:pPr>
              <w:keepNext w:val="0"/>
              <w:keepLines w:val="0"/>
              <w:suppressLineNumbers w:val="0"/>
              <w:tabs>
                <w:tab w:val="left" w:pos="1005"/>
              </w:tabs>
              <w:spacing w:before="0" w:beforeAutospacing="0" w:after="0" w:afterAutospacing="0" w:line="280" w:lineRule="exact"/>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9.5 定期公开饮用水水源地相关信息。</w:t>
            </w:r>
          </w:p>
        </w:tc>
        <w:tc>
          <w:tcPr>
            <w:tcW w:w="800" w:type="dxa"/>
            <w:noWrap w:val="0"/>
            <w:vAlign w:val="center"/>
          </w:tcPr>
          <w:p w14:paraId="4DB8745D">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适用</w:t>
            </w:r>
          </w:p>
        </w:tc>
        <w:tc>
          <w:tcPr>
            <w:tcW w:w="666" w:type="dxa"/>
            <w:noWrap w:val="0"/>
            <w:vAlign w:val="center"/>
          </w:tcPr>
          <w:p w14:paraId="1F9DAB68">
            <w:pPr>
              <w:keepNext w:val="0"/>
              <w:keepLines w:val="0"/>
              <w:suppressLineNumbers w:val="0"/>
              <w:tabs>
                <w:tab w:val="left" w:pos="1005"/>
              </w:tabs>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bl>
    <w:p w14:paraId="36B028E3">
      <w:pPr>
        <w:keepNext/>
        <w:keepLines/>
        <w:widowControl w:val="0"/>
        <w:spacing w:before="120" w:after="120" w:line="360" w:lineRule="auto"/>
        <w:jc w:val="left"/>
        <w:outlineLvl w:val="2"/>
        <w:rPr>
          <w:rFonts w:hint="default" w:ascii="Times New Roman" w:hAnsi="Times New Roman" w:eastAsia="宋体" w:cs="Times New Roman"/>
          <w:b/>
          <w:bCs/>
          <w:color w:val="auto"/>
          <w:kern w:val="2"/>
          <w:sz w:val="28"/>
          <w:szCs w:val="28"/>
          <w:lang w:val="en-US" w:eastAsia="zh-CN" w:bidi="ar-SA"/>
        </w:rPr>
      </w:pPr>
      <w:bookmarkStart w:id="119" w:name="_Toc42592592"/>
      <w:r>
        <w:rPr>
          <w:rFonts w:hint="default" w:ascii="Times New Roman" w:hAnsi="Times New Roman" w:eastAsia="宋体" w:cs="Times New Roman"/>
          <w:b/>
          <w:bCs/>
          <w:color w:val="auto"/>
          <w:kern w:val="2"/>
          <w:sz w:val="28"/>
          <w:szCs w:val="28"/>
          <w:lang w:val="en-US" w:eastAsia="zh-CN" w:bidi="ar-SA"/>
        </w:rPr>
        <w:t>5.2.2经济可达性分析</w:t>
      </w:r>
      <w:bookmarkEnd w:id="117"/>
      <w:bookmarkEnd w:id="118"/>
      <w:bookmarkEnd w:id="119"/>
    </w:p>
    <w:p w14:paraId="4028AE98">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保护区</w:t>
      </w:r>
      <w:r>
        <w:rPr>
          <w:rFonts w:hint="default" w:ascii="Times New Roman" w:hAnsi="Times New Roman" w:eastAsia="宋体" w:cs="Times New Roman"/>
          <w:color w:val="auto"/>
          <w:sz w:val="28"/>
          <w:szCs w:val="28"/>
          <w:lang w:val="en-US" w:eastAsia="zh-CN"/>
        </w:rPr>
        <w:t>规范化建设</w:t>
      </w:r>
      <w:r>
        <w:rPr>
          <w:rFonts w:hint="default" w:ascii="Times New Roman" w:hAnsi="Times New Roman" w:eastAsia="宋体" w:cs="Times New Roman"/>
          <w:color w:val="auto"/>
          <w:sz w:val="28"/>
          <w:szCs w:val="28"/>
        </w:rPr>
        <w:t>需经</w:t>
      </w:r>
      <w:r>
        <w:rPr>
          <w:rFonts w:hint="default" w:ascii="Times New Roman" w:hAnsi="Times New Roman" w:eastAsia="宋体" w:cs="Times New Roman"/>
          <w:color w:val="auto"/>
          <w:sz w:val="28"/>
          <w:szCs w:val="28"/>
          <w:highlight w:val="none"/>
        </w:rPr>
        <w:t>费</w:t>
      </w:r>
      <w:r>
        <w:rPr>
          <w:rFonts w:hint="eastAsia" w:ascii="Times New Roman" w:hAnsi="Times New Roman" w:cs="Times New Roman"/>
          <w:color w:val="auto"/>
          <w:sz w:val="28"/>
          <w:szCs w:val="28"/>
          <w:highlight w:val="none"/>
          <w:lang w:val="en-US" w:eastAsia="zh-CN"/>
        </w:rPr>
        <w:t>47.6</w:t>
      </w:r>
      <w:r>
        <w:rPr>
          <w:rFonts w:hint="default" w:ascii="Times New Roman" w:hAnsi="Times New Roman" w:cs="Times New Roman"/>
          <w:color w:val="auto"/>
          <w:sz w:val="28"/>
          <w:szCs w:val="28"/>
          <w:highlight w:val="none"/>
          <w:lang w:val="en-US" w:eastAsia="zh-CN"/>
        </w:rPr>
        <w:t>万</w:t>
      </w:r>
      <w:r>
        <w:rPr>
          <w:rFonts w:hint="default" w:ascii="Times New Roman" w:hAnsi="Times New Roman" w:eastAsia="宋体" w:cs="Times New Roman"/>
          <w:color w:val="auto"/>
          <w:sz w:val="28"/>
          <w:szCs w:val="28"/>
          <w:highlight w:val="none"/>
        </w:rPr>
        <w:t>元</w:t>
      </w:r>
      <w:r>
        <w:rPr>
          <w:rFonts w:hint="default" w:ascii="Times New Roman" w:hAnsi="Times New Roman" w:cs="Times New Roman"/>
          <w:color w:val="auto"/>
          <w:sz w:val="28"/>
          <w:szCs w:val="28"/>
          <w:lang w:eastAsia="zh-CN"/>
        </w:rPr>
        <w:t>，</w:t>
      </w:r>
      <w:r>
        <w:rPr>
          <w:rFonts w:hint="default" w:ascii="Times New Roman" w:hAnsi="Times New Roman" w:eastAsia="宋体" w:cs="Times New Roman"/>
          <w:color w:val="auto"/>
          <w:sz w:val="28"/>
          <w:szCs w:val="28"/>
        </w:rPr>
        <w:t>以上目标的实施，需要一定的资金支持，需要政府部门协调，多方筹资，创造条件。</w:t>
      </w:r>
      <w:r>
        <w:rPr>
          <w:rFonts w:hint="eastAsia" w:ascii="Times New Roman" w:hAnsi="Times New Roman" w:cs="Times New Roman"/>
          <w:color w:val="auto"/>
          <w:sz w:val="28"/>
          <w:szCs w:val="28"/>
          <w:lang w:eastAsia="zh-CN"/>
        </w:rPr>
        <w:t>西安市灞桥区</w:t>
      </w:r>
      <w:r>
        <w:rPr>
          <w:rFonts w:hint="default" w:ascii="Times New Roman" w:hAnsi="Times New Roman" w:eastAsia="宋体" w:cs="Times New Roman"/>
          <w:color w:val="auto"/>
          <w:sz w:val="28"/>
          <w:szCs w:val="28"/>
        </w:rPr>
        <w:t>人民政府应把饮用水安全保障工作纳入重要议事日程，明确职责，合理确定和分解水源地保护工作的目标和任务。</w:t>
      </w:r>
    </w:p>
    <w:p w14:paraId="2117FD0F">
      <w:pPr>
        <w:spacing w:line="600" w:lineRule="exact"/>
        <w:ind w:firstLine="560" w:firstLineChars="200"/>
        <w:rPr>
          <w:rFonts w:hint="default" w:ascii="Times New Roman" w:hAnsi="Times New Roman" w:cs="Times New Roman"/>
          <w:color w:val="auto"/>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sz w:val="28"/>
          <w:szCs w:val="28"/>
        </w:rPr>
        <w:t>据调查，</w:t>
      </w:r>
      <w:r>
        <w:rPr>
          <w:rFonts w:hint="eastAsia" w:ascii="Times New Roman" w:hAnsi="Times New Roman" w:cs="Times New Roman"/>
          <w:color w:val="auto"/>
          <w:sz w:val="28"/>
          <w:szCs w:val="28"/>
          <w:lang w:val="en-US" w:eastAsia="zh-CN"/>
        </w:rPr>
        <w:t>灞桥区人民政府从2020年开始每年列出专项资金用于饮用水水源地保护工作并及时拨付。</w:t>
      </w:r>
      <w:r>
        <w:rPr>
          <w:rFonts w:hint="default" w:ascii="Times New Roman" w:hAnsi="Times New Roman" w:eastAsia="宋体" w:cs="Times New Roman"/>
          <w:color w:val="auto"/>
          <w:sz w:val="28"/>
          <w:szCs w:val="28"/>
        </w:rPr>
        <w:t>根据现阶段国家对饮用水源保护工作的重视和财政资金支持力度的加大，集中饮用水源保护区划分方案的落实将有足够的保障和支持。</w:t>
      </w:r>
    </w:p>
    <w:p w14:paraId="182F4593">
      <w:pPr>
        <w:keepNext/>
        <w:keepLines/>
        <w:widowControl w:val="0"/>
        <w:spacing w:before="340" w:after="0" w:line="240" w:lineRule="atLeast"/>
        <w:jc w:val="center"/>
        <w:outlineLvl w:val="0"/>
        <w:rPr>
          <w:rFonts w:hint="default" w:ascii="Times New Roman" w:hAnsi="Times New Roman" w:eastAsia="宋体" w:cs="Times New Roman"/>
          <w:b/>
          <w:bCs/>
          <w:color w:val="auto"/>
          <w:kern w:val="44"/>
          <w:sz w:val="36"/>
          <w:szCs w:val="44"/>
          <w:lang w:val="en-US" w:eastAsia="zh-CN" w:bidi="ar-SA"/>
        </w:rPr>
      </w:pPr>
      <w:bookmarkStart w:id="120" w:name="_Toc27179"/>
      <w:bookmarkStart w:id="121" w:name="_Toc42592593"/>
      <w:bookmarkStart w:id="122" w:name="_Toc513189396"/>
      <w:bookmarkStart w:id="123" w:name="_Toc2893"/>
      <w:bookmarkStart w:id="124" w:name="_Toc468081915"/>
      <w:r>
        <w:rPr>
          <w:rFonts w:hint="default" w:ascii="Times New Roman" w:hAnsi="Times New Roman" w:eastAsia="宋体" w:cs="Times New Roman"/>
          <w:b/>
          <w:bCs/>
          <w:color w:val="auto"/>
          <w:kern w:val="44"/>
          <w:sz w:val="36"/>
          <w:szCs w:val="44"/>
          <w:lang w:val="en-US" w:eastAsia="zh-CN" w:bidi="ar-SA"/>
        </w:rPr>
        <w:t>六 结论</w:t>
      </w:r>
      <w:bookmarkEnd w:id="120"/>
      <w:bookmarkEnd w:id="121"/>
      <w:bookmarkEnd w:id="122"/>
      <w:bookmarkEnd w:id="123"/>
    </w:p>
    <w:p w14:paraId="0208B0F6">
      <w:pPr>
        <w:keepNext/>
        <w:keepLines/>
        <w:widowControl w:val="0"/>
        <w:spacing w:before="260" w:after="12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125" w:name="_Toc42592594"/>
      <w:bookmarkStart w:id="126" w:name="_Toc513189397"/>
      <w:bookmarkStart w:id="127" w:name="_Toc22493"/>
      <w:r>
        <w:rPr>
          <w:rFonts w:hint="default" w:ascii="Times New Roman" w:hAnsi="Times New Roman" w:eastAsia="宋体" w:cs="Times New Roman"/>
          <w:b/>
          <w:bCs/>
          <w:color w:val="auto"/>
          <w:kern w:val="2"/>
          <w:sz w:val="30"/>
          <w:szCs w:val="32"/>
          <w:lang w:val="en-US" w:eastAsia="zh-CN" w:bidi="ar-SA"/>
        </w:rPr>
        <w:t>6.1水源地概况</w:t>
      </w:r>
      <w:bookmarkEnd w:id="124"/>
      <w:bookmarkEnd w:id="125"/>
      <w:bookmarkEnd w:id="126"/>
      <w:bookmarkEnd w:id="127"/>
    </w:p>
    <w:p w14:paraId="3CF51776">
      <w:pPr>
        <w:numPr>
          <w:ilvl w:val="0"/>
          <w:numId w:val="7"/>
        </w:numPr>
        <w:spacing w:line="360" w:lineRule="auto"/>
        <w:ind w:firstLine="560"/>
        <w:rPr>
          <w:rFonts w:hint="default" w:ascii="Times New Roman" w:hAnsi="Times New Roman" w:eastAsia="宋体" w:cs="Times New Roman"/>
          <w:color w:val="auto"/>
          <w:sz w:val="28"/>
          <w:szCs w:val="28"/>
          <w:highlight w:val="none"/>
        </w:rPr>
      </w:pPr>
      <w:r>
        <w:rPr>
          <w:rFonts w:hint="default" w:ascii="Times New Roman" w:hAnsi="Times New Roman" w:cs="Times New Roman"/>
          <w:color w:val="auto"/>
          <w:kern w:val="0"/>
          <w:sz w:val="28"/>
          <w:szCs w:val="28"/>
          <w:highlight w:val="none"/>
          <w:lang w:val="en-US" w:eastAsia="zh-CN"/>
        </w:rPr>
        <w:t>本次</w:t>
      </w:r>
      <w:r>
        <w:rPr>
          <w:rFonts w:hint="eastAsia" w:ascii="Times New Roman" w:hAnsi="Times New Roman" w:cs="Times New Roman"/>
          <w:color w:val="auto"/>
          <w:kern w:val="0"/>
          <w:sz w:val="28"/>
          <w:szCs w:val="28"/>
          <w:highlight w:val="none"/>
          <w:lang w:val="en-US" w:eastAsia="zh-CN"/>
        </w:rPr>
        <w:t>纳入</w:t>
      </w:r>
      <w:r>
        <w:rPr>
          <w:rFonts w:hint="default" w:ascii="Times New Roman" w:hAnsi="Times New Roman" w:cs="Times New Roman"/>
          <w:color w:val="auto"/>
          <w:kern w:val="0"/>
          <w:sz w:val="28"/>
          <w:szCs w:val="28"/>
          <w:highlight w:val="none"/>
          <w:lang w:val="en-US" w:eastAsia="zh-CN"/>
        </w:rPr>
        <w:t>水源地划分包含</w:t>
      </w:r>
      <w:r>
        <w:rPr>
          <w:rFonts w:hint="default" w:ascii="Times New Roman" w:hAnsi="Times New Roman" w:cs="Times New Roman"/>
          <w:color w:val="auto"/>
          <w:kern w:val="0"/>
          <w:sz w:val="28"/>
          <w:szCs w:val="28"/>
          <w:highlight w:val="none"/>
        </w:rPr>
        <w:t>西安市</w:t>
      </w:r>
      <w:r>
        <w:rPr>
          <w:rFonts w:hint="default" w:ascii="Times New Roman" w:hAnsi="Times New Roman" w:cs="Times New Roman"/>
          <w:color w:val="auto"/>
          <w:kern w:val="0"/>
          <w:sz w:val="28"/>
          <w:szCs w:val="28"/>
          <w:highlight w:val="none"/>
          <w:lang w:val="en-US" w:eastAsia="zh-CN"/>
        </w:rPr>
        <w:t>灞桥区狄寨街道狄寨村</w:t>
      </w:r>
      <w:r>
        <w:rPr>
          <w:rFonts w:hint="default" w:ascii="Times New Roman" w:hAnsi="Times New Roman" w:cs="Times New Roman"/>
          <w:color w:val="auto"/>
          <w:kern w:val="0"/>
          <w:sz w:val="28"/>
          <w:szCs w:val="28"/>
          <w:highlight w:val="none"/>
        </w:rPr>
        <w:t>两口水井，</w:t>
      </w:r>
      <w:r>
        <w:rPr>
          <w:rFonts w:hint="default" w:ascii="Times New Roman" w:hAnsi="Times New Roman" w:cs="Times New Roman"/>
          <w:color w:val="auto"/>
          <w:kern w:val="0"/>
          <w:sz w:val="28"/>
          <w:szCs w:val="28"/>
          <w:highlight w:val="none"/>
          <w:lang w:val="en-US" w:eastAsia="zh-CN"/>
        </w:rPr>
        <w:t>各</w:t>
      </w:r>
      <w:r>
        <w:rPr>
          <w:rFonts w:hint="default" w:ascii="Times New Roman" w:hAnsi="Times New Roman" w:cs="Times New Roman"/>
          <w:color w:val="auto"/>
          <w:kern w:val="0"/>
          <w:sz w:val="28"/>
          <w:szCs w:val="28"/>
          <w:highlight w:val="none"/>
        </w:rPr>
        <w:t>用水</w:t>
      </w:r>
      <w:r>
        <w:rPr>
          <w:rFonts w:hint="default" w:ascii="Times New Roman" w:hAnsi="Times New Roman" w:cs="Times New Roman"/>
          <w:color w:val="auto"/>
          <w:kern w:val="0"/>
          <w:sz w:val="28"/>
          <w:szCs w:val="28"/>
          <w:highlight w:val="none"/>
          <w:lang w:val="en-US" w:eastAsia="zh-CN"/>
        </w:rPr>
        <w:t>井均</w:t>
      </w:r>
      <w:r>
        <w:rPr>
          <w:rFonts w:hint="default" w:ascii="Times New Roman" w:hAnsi="Times New Roman" w:cs="Times New Roman"/>
          <w:color w:val="auto"/>
          <w:kern w:val="0"/>
          <w:sz w:val="28"/>
          <w:szCs w:val="28"/>
          <w:highlight w:val="none"/>
        </w:rPr>
        <w:t>位于供水站</w:t>
      </w:r>
      <w:r>
        <w:rPr>
          <w:rFonts w:hint="default" w:ascii="Times New Roman" w:hAnsi="Times New Roman" w:cs="Times New Roman"/>
          <w:color w:val="auto"/>
          <w:kern w:val="0"/>
          <w:sz w:val="28"/>
          <w:szCs w:val="28"/>
          <w:highlight w:val="none"/>
          <w:lang w:val="en-US" w:eastAsia="zh-CN"/>
        </w:rPr>
        <w:t>围墙里</w:t>
      </w:r>
      <w:r>
        <w:rPr>
          <w:rFonts w:hint="default" w:ascii="Times New Roman" w:hAnsi="Times New Roman" w:cs="Times New Roman"/>
          <w:color w:val="auto"/>
          <w:kern w:val="0"/>
          <w:sz w:val="28"/>
          <w:szCs w:val="28"/>
          <w:highlight w:val="none"/>
        </w:rPr>
        <w:t>，设有单独</w:t>
      </w:r>
      <w:r>
        <w:rPr>
          <w:rFonts w:hint="default" w:ascii="Times New Roman" w:hAnsi="Times New Roman" w:cs="Times New Roman"/>
          <w:color w:val="auto"/>
          <w:kern w:val="0"/>
          <w:sz w:val="28"/>
          <w:szCs w:val="28"/>
          <w:highlight w:val="none"/>
          <w:lang w:val="en-US" w:eastAsia="zh-CN"/>
        </w:rPr>
        <w:t>井</w:t>
      </w:r>
      <w:r>
        <w:rPr>
          <w:rFonts w:hint="default" w:ascii="Times New Roman" w:hAnsi="Times New Roman" w:cs="Times New Roman"/>
          <w:color w:val="auto"/>
          <w:kern w:val="0"/>
          <w:sz w:val="28"/>
          <w:szCs w:val="28"/>
          <w:highlight w:val="none"/>
        </w:rPr>
        <w:t>房，封闭管理。</w:t>
      </w:r>
      <w:r>
        <w:rPr>
          <w:rFonts w:hint="default" w:ascii="Times New Roman" w:hAnsi="Times New Roman" w:cs="Times New Roman"/>
          <w:color w:val="auto"/>
          <w:kern w:val="0"/>
          <w:sz w:val="28"/>
          <w:szCs w:val="28"/>
          <w:highlight w:val="none"/>
          <w:lang w:val="en-US" w:eastAsia="zh-CN"/>
        </w:rPr>
        <w:t>两眼井均</w:t>
      </w:r>
      <w:r>
        <w:rPr>
          <w:rFonts w:hint="default" w:ascii="Times New Roman" w:hAnsi="Times New Roman" w:cs="Times New Roman"/>
          <w:color w:val="auto"/>
          <w:kern w:val="0"/>
          <w:sz w:val="28"/>
          <w:szCs w:val="28"/>
          <w:highlight w:val="none"/>
        </w:rPr>
        <w:t>建于201</w:t>
      </w:r>
      <w:r>
        <w:rPr>
          <w:rFonts w:hint="default" w:ascii="Times New Roman" w:hAnsi="Times New Roman" w:cs="Times New Roman"/>
          <w:color w:val="auto"/>
          <w:kern w:val="0"/>
          <w:sz w:val="28"/>
          <w:szCs w:val="28"/>
          <w:highlight w:val="none"/>
          <w:lang w:val="en-US" w:eastAsia="zh-CN"/>
        </w:rPr>
        <w:t>5</w:t>
      </w:r>
      <w:r>
        <w:rPr>
          <w:rFonts w:hint="default" w:ascii="Times New Roman" w:hAnsi="Times New Roman" w:cs="Times New Roman"/>
          <w:color w:val="auto"/>
          <w:kern w:val="0"/>
          <w:sz w:val="28"/>
          <w:szCs w:val="28"/>
          <w:highlight w:val="none"/>
        </w:rPr>
        <w:t>年，</w:t>
      </w:r>
      <w:r>
        <w:rPr>
          <w:rFonts w:hint="default" w:ascii="Times New Roman" w:hAnsi="Times New Roman" w:cs="Times New Roman"/>
          <w:color w:val="auto"/>
          <w:kern w:val="0"/>
          <w:sz w:val="28"/>
          <w:szCs w:val="28"/>
          <w:highlight w:val="none"/>
          <w:lang w:val="en-US" w:eastAsia="zh-CN"/>
        </w:rPr>
        <w:t>1#井井深300m，</w:t>
      </w:r>
      <w:r>
        <w:rPr>
          <w:rFonts w:hint="default" w:ascii="Times New Roman" w:hAnsi="Times New Roman" w:cs="Times New Roman"/>
          <w:color w:val="auto"/>
          <w:kern w:val="0"/>
          <w:sz w:val="28"/>
          <w:szCs w:val="28"/>
          <w:highlight w:val="none"/>
        </w:rPr>
        <w:t>设计日供水量</w:t>
      </w:r>
      <w:r>
        <w:rPr>
          <w:rFonts w:hint="default" w:ascii="Times New Roman" w:hAnsi="Times New Roman" w:cs="Times New Roman"/>
          <w:color w:val="auto"/>
          <w:kern w:val="0"/>
          <w:sz w:val="28"/>
          <w:szCs w:val="28"/>
          <w:highlight w:val="none"/>
          <w:lang w:val="en-US" w:eastAsia="zh-CN"/>
        </w:rPr>
        <w:t>432</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eastAsia" w:ascii="Times New Roman" w:hAnsi="Times New Roman" w:cs="Times New Roman"/>
          <w:color w:val="auto"/>
          <w:kern w:val="0"/>
          <w:sz w:val="28"/>
          <w:szCs w:val="28"/>
          <w:highlight w:val="none"/>
          <w:lang w:eastAsia="zh-CN"/>
        </w:rPr>
        <w:t>，</w:t>
      </w:r>
      <w:r>
        <w:rPr>
          <w:rFonts w:hint="default" w:ascii="Times New Roman" w:hAnsi="Times New Roman" w:cs="Times New Roman"/>
          <w:color w:val="auto"/>
          <w:kern w:val="0"/>
          <w:sz w:val="28"/>
          <w:szCs w:val="28"/>
          <w:highlight w:val="none"/>
        </w:rPr>
        <w:t>实际日供水量</w:t>
      </w:r>
      <w:r>
        <w:rPr>
          <w:rFonts w:hint="eastAsia" w:ascii="Times New Roman" w:hAnsi="Times New Roman" w:cs="Times New Roman"/>
          <w:color w:val="auto"/>
          <w:kern w:val="0"/>
          <w:sz w:val="28"/>
          <w:szCs w:val="28"/>
          <w:highlight w:val="none"/>
          <w:lang w:val="en-US" w:eastAsia="zh-CN"/>
        </w:rPr>
        <w:t>为4</w:t>
      </w:r>
      <w:r>
        <w:rPr>
          <w:rFonts w:hint="default" w:ascii="Times New Roman" w:hAnsi="Times New Roman" w:cs="Times New Roman"/>
          <w:color w:val="auto"/>
          <w:kern w:val="0"/>
          <w:sz w:val="28"/>
          <w:szCs w:val="28"/>
          <w:highlight w:val="none"/>
        </w:rPr>
        <w:t>0</w:t>
      </w:r>
      <w:r>
        <w:rPr>
          <w:rFonts w:hint="eastAsia" w:ascii="Times New Roman" w:hAnsi="Times New Roman" w:cs="Times New Roman"/>
          <w:color w:val="auto"/>
          <w:kern w:val="0"/>
          <w:sz w:val="28"/>
          <w:szCs w:val="28"/>
          <w:highlight w:val="none"/>
          <w:lang w:val="en-US" w:eastAsia="zh-CN"/>
        </w:rPr>
        <w:t>6</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w:t>
      </w:r>
      <w:r>
        <w:rPr>
          <w:rFonts w:hint="default" w:ascii="Times New Roman" w:hAnsi="Times New Roman" w:cs="Times New Roman"/>
          <w:color w:val="auto"/>
          <w:kern w:val="0"/>
          <w:sz w:val="28"/>
          <w:szCs w:val="28"/>
          <w:highlight w:val="none"/>
          <w:lang w:eastAsia="zh-CN"/>
        </w:rPr>
        <w:t>；</w:t>
      </w:r>
      <w:r>
        <w:rPr>
          <w:rFonts w:hint="default" w:ascii="Times New Roman" w:hAnsi="Times New Roman" w:cs="Times New Roman"/>
          <w:color w:val="auto"/>
          <w:kern w:val="0"/>
          <w:sz w:val="28"/>
          <w:szCs w:val="28"/>
          <w:highlight w:val="none"/>
          <w:lang w:val="en-US" w:eastAsia="zh-CN"/>
        </w:rPr>
        <w:t>2#井井深2</w:t>
      </w:r>
      <w:r>
        <w:rPr>
          <w:rFonts w:hint="eastAsia" w:ascii="Times New Roman" w:hAnsi="Times New Roman" w:cs="Times New Roman"/>
          <w:color w:val="auto"/>
          <w:kern w:val="0"/>
          <w:sz w:val="28"/>
          <w:szCs w:val="28"/>
          <w:highlight w:val="none"/>
          <w:lang w:val="en-US" w:eastAsia="zh-CN"/>
        </w:rPr>
        <w:t>8</w:t>
      </w:r>
      <w:r>
        <w:rPr>
          <w:rFonts w:hint="default" w:ascii="Times New Roman" w:hAnsi="Times New Roman" w:cs="Times New Roman"/>
          <w:color w:val="auto"/>
          <w:kern w:val="0"/>
          <w:sz w:val="28"/>
          <w:szCs w:val="28"/>
          <w:highlight w:val="none"/>
          <w:lang w:val="en-US" w:eastAsia="zh-CN"/>
        </w:rPr>
        <w:t>0m</w:t>
      </w:r>
      <w:r>
        <w:rPr>
          <w:rFonts w:hint="default" w:ascii="Times New Roman" w:hAnsi="Times New Roman" w:cs="Times New Roman"/>
          <w:color w:val="auto"/>
          <w:kern w:val="0"/>
          <w:sz w:val="28"/>
          <w:szCs w:val="28"/>
          <w:highlight w:val="none"/>
        </w:rPr>
        <w:t>，设计日供水量</w:t>
      </w:r>
      <w:r>
        <w:rPr>
          <w:rFonts w:hint="default" w:ascii="Times New Roman" w:hAnsi="Times New Roman" w:cs="Times New Roman"/>
          <w:color w:val="auto"/>
          <w:kern w:val="0"/>
          <w:sz w:val="28"/>
          <w:szCs w:val="28"/>
          <w:highlight w:val="none"/>
          <w:lang w:val="en-US" w:eastAsia="zh-CN"/>
        </w:rPr>
        <w:t>360</w:t>
      </w:r>
      <w:r>
        <w:rPr>
          <w:rFonts w:hint="default" w:ascii="Times New Roman" w:hAnsi="Times New Roman" w:cs="Times New Roman"/>
          <w:color w:val="auto"/>
          <w:kern w:val="0"/>
          <w:sz w:val="28"/>
          <w:szCs w:val="28"/>
          <w:highlight w:val="none"/>
        </w:rPr>
        <w:t>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d，实际日供水量</w:t>
      </w:r>
      <w:r>
        <w:rPr>
          <w:rFonts w:hint="eastAsia" w:ascii="Times New Roman" w:hAnsi="Times New Roman" w:cs="Times New Roman"/>
          <w:color w:val="auto"/>
          <w:kern w:val="0"/>
          <w:sz w:val="28"/>
          <w:szCs w:val="28"/>
          <w:highlight w:val="none"/>
          <w:lang w:val="en-US" w:eastAsia="zh-CN"/>
        </w:rPr>
        <w:t>为4</w:t>
      </w:r>
      <w:r>
        <w:rPr>
          <w:rFonts w:hint="default" w:ascii="Times New Roman" w:hAnsi="Times New Roman" w:cs="Times New Roman"/>
          <w:color w:val="auto"/>
          <w:kern w:val="0"/>
          <w:sz w:val="28"/>
          <w:szCs w:val="28"/>
          <w:highlight w:val="none"/>
        </w:rPr>
        <w:t>00m</w:t>
      </w:r>
      <w:r>
        <w:rPr>
          <w:rFonts w:hint="default" w:ascii="Times New Roman" w:hAnsi="Times New Roman" w:cs="Times New Roman"/>
          <w:color w:val="auto"/>
          <w:kern w:val="0"/>
          <w:sz w:val="28"/>
          <w:szCs w:val="28"/>
          <w:highlight w:val="none"/>
          <w:vertAlign w:val="superscript"/>
        </w:rPr>
        <w:t>3</w:t>
      </w:r>
      <w:r>
        <w:rPr>
          <w:rFonts w:hint="default"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rPr>
        <w:t>d，目前运行状况良好。主要供水范围为</w:t>
      </w:r>
      <w:r>
        <w:rPr>
          <w:rFonts w:hint="default" w:ascii="Times New Roman" w:hAnsi="Times New Roman" w:cs="Times New Roman"/>
          <w:color w:val="auto"/>
          <w:kern w:val="0"/>
          <w:sz w:val="28"/>
          <w:szCs w:val="28"/>
          <w:highlight w:val="none"/>
          <w:lang w:val="en-US" w:eastAsia="zh-CN"/>
        </w:rPr>
        <w:t>狄寨街道狄寨村</w:t>
      </w:r>
      <w:r>
        <w:rPr>
          <w:rFonts w:hint="default" w:ascii="Times New Roman" w:hAnsi="Times New Roman" w:cs="Times New Roman"/>
          <w:color w:val="auto"/>
          <w:kern w:val="0"/>
          <w:sz w:val="28"/>
          <w:szCs w:val="28"/>
          <w:highlight w:val="none"/>
        </w:rPr>
        <w:t>，总供水人口约</w:t>
      </w:r>
      <w:r>
        <w:rPr>
          <w:rFonts w:hint="eastAsia" w:ascii="Times New Roman" w:hAnsi="Times New Roman" w:cs="Times New Roman"/>
          <w:color w:val="auto"/>
          <w:kern w:val="0"/>
          <w:sz w:val="28"/>
          <w:szCs w:val="28"/>
          <w:highlight w:val="none"/>
          <w:lang w:val="en-US" w:eastAsia="zh-CN"/>
        </w:rPr>
        <w:t>5000余</w:t>
      </w:r>
      <w:r>
        <w:rPr>
          <w:rFonts w:hint="default" w:ascii="Times New Roman" w:hAnsi="Times New Roman" w:cs="Times New Roman"/>
          <w:color w:val="auto"/>
          <w:kern w:val="0"/>
          <w:sz w:val="28"/>
          <w:szCs w:val="28"/>
          <w:highlight w:val="none"/>
        </w:rPr>
        <w:t>人。</w:t>
      </w:r>
    </w:p>
    <w:p w14:paraId="397C4B76">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（2）水质监测结果</w:t>
      </w:r>
    </w:p>
    <w:p w14:paraId="013C0DD4">
      <w:pPr>
        <w:spacing w:line="600" w:lineRule="exact"/>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根据20</w:t>
      </w:r>
      <w:r>
        <w:rPr>
          <w:rFonts w:hint="default"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月监测报告：水源井监测点（1、</w:t>
      </w:r>
      <w:r>
        <w:rPr>
          <w:rFonts w:hint="default"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井</w:t>
      </w:r>
      <w:r>
        <w:rPr>
          <w:rFonts w:hint="default" w:ascii="Times New Roman" w:hAnsi="Times New Roman" w:cs="Times New Roman"/>
          <w:color w:val="auto"/>
          <w:sz w:val="28"/>
          <w:szCs w:val="28"/>
        </w:rPr>
        <w:t>混合水样</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各监测指标均符合《地下水质量标准》</w:t>
      </w:r>
      <w:r>
        <w:rPr>
          <w:rFonts w:hint="default" w:ascii="Times New Roman" w:hAnsi="Times New Roman" w:cs="Times New Roman"/>
          <w:color w:val="auto"/>
          <w:kern w:val="0"/>
          <w:sz w:val="28"/>
          <w:szCs w:val="28"/>
        </w:rPr>
        <w:t>（GB/T14848-2017）</w:t>
      </w:r>
      <w:r>
        <w:rPr>
          <w:rFonts w:hint="default" w:ascii="Times New Roman" w:hAnsi="Times New Roman" w:cs="Times New Roman"/>
          <w:color w:val="auto"/>
          <w:sz w:val="28"/>
          <w:szCs w:val="28"/>
        </w:rPr>
        <w:t>Ⅲ类标准限值要求。</w:t>
      </w:r>
    </w:p>
    <w:p w14:paraId="27AAABC0">
      <w:pPr>
        <w:spacing w:line="60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（3）根据污染源调查：水源地所在区域</w:t>
      </w:r>
      <w:r>
        <w:rPr>
          <w:rFonts w:hint="eastAsia" w:ascii="Times New Roman" w:hAnsi="Times New Roman" w:cs="Times New Roman"/>
          <w:color w:val="auto"/>
          <w:sz w:val="28"/>
          <w:szCs w:val="28"/>
          <w:lang w:val="en-US" w:eastAsia="zh-CN"/>
        </w:rPr>
        <w:t>主要为</w:t>
      </w:r>
      <w:r>
        <w:rPr>
          <w:rFonts w:hint="default" w:ascii="Times New Roman" w:hAnsi="Times New Roman" w:eastAsia="宋体" w:cs="Times New Roman"/>
          <w:color w:val="auto"/>
          <w:sz w:val="28"/>
          <w:szCs w:val="28"/>
        </w:rPr>
        <w:t>农业污染源</w:t>
      </w:r>
      <w:r>
        <w:rPr>
          <w:rFonts w:hint="eastAsia" w:ascii="Times New Roman" w:hAnsi="Times New Roman" w:cs="Times New Roman"/>
          <w:color w:val="auto"/>
          <w:sz w:val="28"/>
          <w:szCs w:val="28"/>
          <w:lang w:val="en-US" w:eastAsia="zh-CN"/>
        </w:rPr>
        <w:t>和</w:t>
      </w:r>
      <w:r>
        <w:rPr>
          <w:rFonts w:hint="default" w:ascii="Times New Roman" w:hAnsi="Times New Roman" w:eastAsia="宋体" w:cs="Times New Roman"/>
          <w:color w:val="auto"/>
          <w:sz w:val="28"/>
          <w:szCs w:val="28"/>
        </w:rPr>
        <w:t>生活污染源。</w:t>
      </w:r>
    </w:p>
    <w:p w14:paraId="0AE35AAB">
      <w:pPr>
        <w:keepNext/>
        <w:keepLines/>
        <w:widowControl w:val="0"/>
        <w:spacing w:before="260" w:after="12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128" w:name="_Toc468081916"/>
      <w:bookmarkStart w:id="129" w:name="_Toc28151"/>
      <w:bookmarkStart w:id="130" w:name="_Toc42592595"/>
      <w:bookmarkStart w:id="131" w:name="_Toc513189398"/>
      <w:r>
        <w:rPr>
          <w:rFonts w:hint="default" w:ascii="Times New Roman" w:hAnsi="Times New Roman" w:eastAsia="宋体" w:cs="Times New Roman"/>
          <w:b/>
          <w:bCs/>
          <w:color w:val="auto"/>
          <w:kern w:val="2"/>
          <w:sz w:val="30"/>
          <w:szCs w:val="32"/>
          <w:lang w:val="en-US" w:eastAsia="zh-CN" w:bidi="ar-SA"/>
        </w:rPr>
        <w:t>6.2</w:t>
      </w:r>
      <w:bookmarkEnd w:id="128"/>
      <w:bookmarkStart w:id="132" w:name="_Toc468081917"/>
      <w:r>
        <w:rPr>
          <w:rFonts w:hint="default" w:ascii="Times New Roman" w:hAnsi="Times New Roman" w:eastAsia="宋体" w:cs="Times New Roman"/>
          <w:b/>
          <w:bCs/>
          <w:color w:val="auto"/>
          <w:kern w:val="2"/>
          <w:sz w:val="30"/>
          <w:szCs w:val="32"/>
          <w:lang w:val="en-US" w:eastAsia="zh-CN" w:bidi="ar-SA"/>
        </w:rPr>
        <w:t>水源保护区划分</w:t>
      </w:r>
      <w:bookmarkEnd w:id="129"/>
      <w:bookmarkEnd w:id="130"/>
      <w:bookmarkEnd w:id="131"/>
      <w:bookmarkEnd w:id="132"/>
    </w:p>
    <w:p w14:paraId="70CE9F50">
      <w:pPr>
        <w:spacing w:line="360" w:lineRule="auto"/>
        <w:ind w:firstLine="560" w:firstLineChars="200"/>
        <w:rPr>
          <w:rFonts w:hint="default" w:ascii="Times New Roman" w:hAnsi="Times New Roman" w:cs="Times New Roman"/>
          <w:b w:val="0"/>
          <w:bCs/>
          <w:color w:val="auto"/>
          <w:sz w:val="28"/>
          <w:szCs w:val="28"/>
        </w:rPr>
      </w:pPr>
      <w:bookmarkStart w:id="133" w:name="_Toc513189399"/>
      <w:bookmarkStart w:id="134" w:name="_Toc468081918"/>
      <w:r>
        <w:rPr>
          <w:rFonts w:hint="eastAsia" w:ascii="Times New Roman" w:hAnsi="Times New Roman" w:cs="Times New Roman"/>
          <w:b w:val="0"/>
          <w:bCs/>
          <w:color w:val="auto"/>
          <w:sz w:val="28"/>
          <w:szCs w:val="28"/>
          <w:lang w:eastAsia="zh-CN"/>
        </w:rPr>
        <w:t>（</w:t>
      </w:r>
      <w:r>
        <w:rPr>
          <w:rFonts w:hint="eastAsia" w:ascii="Times New Roman" w:hAnsi="Times New Roman" w:cs="Times New Roman"/>
          <w:b w:val="0"/>
          <w:bCs/>
          <w:color w:val="auto"/>
          <w:sz w:val="28"/>
          <w:szCs w:val="28"/>
          <w:lang w:val="en-US" w:eastAsia="zh-CN"/>
        </w:rPr>
        <w:t>1</w:t>
      </w:r>
      <w:r>
        <w:rPr>
          <w:rFonts w:hint="eastAsia" w:ascii="Times New Roman" w:hAnsi="Times New Roman" w:cs="Times New Roman"/>
          <w:b w:val="0"/>
          <w:bCs/>
          <w:color w:val="auto"/>
          <w:sz w:val="28"/>
          <w:szCs w:val="28"/>
          <w:lang w:eastAsia="zh-CN"/>
        </w:rPr>
        <w:t>）</w:t>
      </w:r>
      <w:r>
        <w:rPr>
          <w:rFonts w:hint="default" w:ascii="Times New Roman" w:hAnsi="Times New Roman" w:cs="Times New Roman"/>
          <w:b w:val="0"/>
          <w:bCs/>
          <w:color w:val="auto"/>
          <w:sz w:val="28"/>
          <w:szCs w:val="28"/>
        </w:rPr>
        <w:t>一级保护区</w:t>
      </w:r>
    </w:p>
    <w:p w14:paraId="27FB695F">
      <w:pPr>
        <w:pStyle w:val="10"/>
        <w:rPr>
          <w:rFonts w:hint="default" w:ascii="Times New Roman" w:hAnsi="Times New Roman" w:cs="Times New Roman"/>
          <w:b/>
          <w:color w:val="auto"/>
          <w:sz w:val="28"/>
          <w:szCs w:val="28"/>
        </w:rPr>
      </w:pPr>
      <w:r>
        <w:rPr>
          <w:rFonts w:hint="eastAsia"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val="en-US" w:eastAsia="zh-CN"/>
        </w:rPr>
        <w:t>#水源井位于井房内，</w:t>
      </w:r>
      <w:r>
        <w:rPr>
          <w:rFonts w:hint="default" w:ascii="Times New Roman" w:hAnsi="Times New Roman" w:cs="Times New Roman"/>
          <w:color w:val="auto"/>
          <w:sz w:val="28"/>
          <w:szCs w:val="28"/>
        </w:rPr>
        <w:t>划定</w:t>
      </w:r>
      <w:r>
        <w:rPr>
          <w:rFonts w:hint="default" w:ascii="Times New Roman" w:hAnsi="Times New Roman" w:cs="Times New Roman"/>
          <w:color w:val="auto"/>
          <w:sz w:val="28"/>
          <w:szCs w:val="28"/>
          <w:lang w:val="en-US" w:eastAsia="zh-CN"/>
        </w:rPr>
        <w:t>一级保护区范围</w:t>
      </w:r>
      <w:r>
        <w:rPr>
          <w:rFonts w:hint="eastAsia" w:ascii="Times New Roman" w:hAnsi="Times New Roman" w:cs="Times New Roman"/>
          <w:color w:val="auto"/>
          <w:sz w:val="28"/>
          <w:szCs w:val="28"/>
          <w:lang w:val="en-US" w:eastAsia="zh-CN"/>
        </w:rPr>
        <w:t>以1#取水井为中心</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北侧距离井口23m，东侧距离井口7m，西侧距离井口3m，南侧距离井口7m的矩形区域，</w:t>
      </w:r>
      <w:r>
        <w:rPr>
          <w:rFonts w:hint="default" w:ascii="Times New Roman" w:hAnsi="Times New Roman" w:cs="Times New Roman"/>
          <w:color w:val="auto"/>
          <w:sz w:val="28"/>
          <w:szCs w:val="28"/>
          <w:lang w:val="en-US" w:eastAsia="zh-CN"/>
        </w:rPr>
        <w:t>面积为</w:t>
      </w:r>
      <w:r>
        <w:rPr>
          <w:rFonts w:hint="eastAsia" w:ascii="Times New Roman" w:hAnsi="Times New Roman" w:cs="Times New Roman"/>
          <w:color w:val="auto"/>
          <w:sz w:val="28"/>
          <w:szCs w:val="28"/>
          <w:lang w:val="en-US" w:eastAsia="zh-CN"/>
        </w:rPr>
        <w:t>300</w:t>
      </w:r>
      <w:r>
        <w:rPr>
          <w:rFonts w:hint="default" w:ascii="Times New Roman" w:hAnsi="Times New Roman" w:cs="Times New Roman"/>
          <w:color w:val="auto"/>
          <w:sz w:val="28"/>
          <w:szCs w:val="28"/>
          <w:lang w:val="en-US" w:eastAsia="zh-CN"/>
        </w:rPr>
        <w:t>m</w:t>
      </w:r>
      <w:r>
        <w:rPr>
          <w:rFonts w:hint="default" w:ascii="Times New Roman" w:hAnsi="Times New Roman" w:cs="Times New Roman"/>
          <w:color w:val="auto"/>
          <w:sz w:val="28"/>
          <w:szCs w:val="28"/>
          <w:vertAlign w:val="superscript"/>
          <w:lang w:val="en-US" w:eastAsia="zh-CN"/>
        </w:rPr>
        <w:t>2</w:t>
      </w:r>
      <w:r>
        <w:rPr>
          <w:rFonts w:hint="default" w:ascii="Times New Roman" w:hAnsi="Times New Roman" w:cs="Times New Roman"/>
          <w:color w:val="auto"/>
          <w:sz w:val="28"/>
          <w:szCs w:val="28"/>
          <w:lang w:val="en-US" w:eastAsia="zh-CN"/>
        </w:rPr>
        <w:t>。</w:t>
      </w:r>
    </w:p>
    <w:p w14:paraId="2ABE9487">
      <w:pPr>
        <w:spacing w:line="360" w:lineRule="auto"/>
        <w:ind w:firstLine="560" w:firstLineChars="200"/>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lang w:val="en-US" w:eastAsia="zh-CN"/>
        </w:rPr>
        <w:t>#水源井位于井房内，</w:t>
      </w:r>
      <w:r>
        <w:rPr>
          <w:rFonts w:hint="default" w:ascii="Times New Roman" w:hAnsi="Times New Roman" w:cs="Times New Roman"/>
          <w:color w:val="auto"/>
          <w:sz w:val="28"/>
          <w:szCs w:val="28"/>
        </w:rPr>
        <w:t>划定</w:t>
      </w:r>
      <w:r>
        <w:rPr>
          <w:rFonts w:hint="default" w:ascii="Times New Roman" w:hAnsi="Times New Roman" w:cs="Times New Roman"/>
          <w:color w:val="auto"/>
          <w:sz w:val="28"/>
          <w:szCs w:val="28"/>
          <w:lang w:val="en-US" w:eastAsia="zh-CN"/>
        </w:rPr>
        <w:t>一级保护区范围</w:t>
      </w:r>
      <w:r>
        <w:rPr>
          <w:rFonts w:hint="eastAsia" w:ascii="Times New Roman" w:hAnsi="Times New Roman" w:cs="Times New Roman"/>
          <w:color w:val="auto"/>
          <w:sz w:val="28"/>
          <w:szCs w:val="28"/>
          <w:lang w:val="en-US" w:eastAsia="zh-CN"/>
        </w:rPr>
        <w:t>以2#取水井为中心</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南侧距离井口2m，东侧距离井口3m，西侧距离井口12m，北侧距离井口10m的矩形区域，</w:t>
      </w:r>
      <w:r>
        <w:rPr>
          <w:rFonts w:hint="default" w:ascii="Times New Roman" w:hAnsi="Times New Roman" w:cs="Times New Roman"/>
          <w:color w:val="auto"/>
          <w:sz w:val="28"/>
          <w:szCs w:val="28"/>
          <w:lang w:val="en-US" w:eastAsia="zh-CN"/>
        </w:rPr>
        <w:t>面积为</w:t>
      </w:r>
      <w:r>
        <w:rPr>
          <w:rFonts w:hint="eastAsia" w:ascii="Times New Roman" w:hAnsi="Times New Roman" w:cs="Times New Roman"/>
          <w:color w:val="auto"/>
          <w:sz w:val="28"/>
          <w:szCs w:val="28"/>
          <w:lang w:val="en-US" w:eastAsia="zh-CN"/>
        </w:rPr>
        <w:t>180</w:t>
      </w:r>
      <w:r>
        <w:rPr>
          <w:rFonts w:hint="default" w:ascii="Times New Roman" w:hAnsi="Times New Roman" w:cs="Times New Roman"/>
          <w:color w:val="auto"/>
          <w:sz w:val="28"/>
          <w:szCs w:val="28"/>
          <w:lang w:val="en-US" w:eastAsia="zh-CN"/>
        </w:rPr>
        <w:t>m</w:t>
      </w:r>
      <w:r>
        <w:rPr>
          <w:rFonts w:hint="default" w:ascii="Times New Roman" w:hAnsi="Times New Roman" w:cs="Times New Roman"/>
          <w:color w:val="auto"/>
          <w:sz w:val="28"/>
          <w:szCs w:val="28"/>
          <w:vertAlign w:val="superscript"/>
          <w:lang w:val="en-US" w:eastAsia="zh-CN"/>
        </w:rPr>
        <w:t>2</w:t>
      </w:r>
      <w:r>
        <w:rPr>
          <w:rFonts w:hint="default" w:ascii="Times New Roman" w:hAnsi="Times New Roman" w:cs="Times New Roman"/>
          <w:color w:val="auto"/>
          <w:sz w:val="28"/>
          <w:szCs w:val="28"/>
          <w:lang w:val="en-US" w:eastAsia="zh-CN"/>
        </w:rPr>
        <w:t>。</w:t>
      </w:r>
    </w:p>
    <w:p w14:paraId="04BC0024">
      <w:pPr>
        <w:spacing w:line="360" w:lineRule="auto"/>
        <w:ind w:firstLine="560" w:firstLineChars="200"/>
        <w:rPr>
          <w:rFonts w:hint="default" w:ascii="Times New Roman" w:hAnsi="Times New Roman" w:cs="Times New Roman"/>
          <w:b w:val="0"/>
          <w:bCs/>
          <w:color w:val="auto"/>
          <w:sz w:val="28"/>
          <w:szCs w:val="28"/>
        </w:rPr>
      </w:pPr>
      <w:r>
        <w:rPr>
          <w:rFonts w:hint="eastAsia" w:ascii="Times New Roman" w:hAnsi="Times New Roman" w:cs="Times New Roman"/>
          <w:b w:val="0"/>
          <w:bCs/>
          <w:color w:val="auto"/>
          <w:sz w:val="28"/>
          <w:szCs w:val="28"/>
          <w:lang w:eastAsia="zh-CN"/>
        </w:rPr>
        <w:t>（</w:t>
      </w:r>
      <w:r>
        <w:rPr>
          <w:rFonts w:hint="eastAsia" w:ascii="Times New Roman" w:hAnsi="Times New Roman" w:cs="Times New Roman"/>
          <w:b w:val="0"/>
          <w:bCs/>
          <w:color w:val="auto"/>
          <w:sz w:val="28"/>
          <w:szCs w:val="28"/>
          <w:lang w:val="en-US" w:eastAsia="zh-CN"/>
        </w:rPr>
        <w:t>2</w:t>
      </w:r>
      <w:r>
        <w:rPr>
          <w:rFonts w:hint="eastAsia" w:ascii="Times New Roman" w:hAnsi="Times New Roman" w:cs="Times New Roman"/>
          <w:b w:val="0"/>
          <w:bCs/>
          <w:color w:val="auto"/>
          <w:sz w:val="28"/>
          <w:szCs w:val="28"/>
          <w:lang w:eastAsia="zh-CN"/>
        </w:rPr>
        <w:t>）</w:t>
      </w:r>
      <w:r>
        <w:rPr>
          <w:rFonts w:hint="default" w:ascii="Times New Roman" w:hAnsi="Times New Roman" w:cs="Times New Roman"/>
          <w:b w:val="0"/>
          <w:bCs/>
          <w:color w:val="auto"/>
          <w:sz w:val="28"/>
          <w:szCs w:val="28"/>
        </w:rPr>
        <w:t>二级保护区</w:t>
      </w:r>
    </w:p>
    <w:p w14:paraId="0A0232A3">
      <w:pPr>
        <w:autoSpaceDE w:val="0"/>
        <w:autoSpaceDN w:val="0"/>
        <w:adjustRightInd w:val="0"/>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不设二级保护区。</w:t>
      </w:r>
    </w:p>
    <w:p w14:paraId="77B8B28F">
      <w:pPr>
        <w:spacing w:line="360" w:lineRule="auto"/>
        <w:ind w:firstLine="560" w:firstLineChars="200"/>
        <w:rPr>
          <w:rFonts w:hint="default" w:ascii="Times New Roman" w:hAnsi="Times New Roman" w:cs="Times New Roman"/>
          <w:b w:val="0"/>
          <w:bCs/>
          <w:color w:val="auto"/>
          <w:sz w:val="28"/>
          <w:szCs w:val="28"/>
        </w:rPr>
      </w:pPr>
      <w:r>
        <w:rPr>
          <w:rFonts w:hint="eastAsia" w:ascii="Times New Roman" w:hAnsi="Times New Roman" w:cs="Times New Roman"/>
          <w:b w:val="0"/>
          <w:bCs/>
          <w:color w:val="auto"/>
          <w:sz w:val="28"/>
          <w:szCs w:val="28"/>
          <w:lang w:eastAsia="zh-CN"/>
        </w:rPr>
        <w:t>（</w:t>
      </w:r>
      <w:r>
        <w:rPr>
          <w:rFonts w:hint="eastAsia" w:ascii="Times New Roman" w:hAnsi="Times New Roman" w:cs="Times New Roman"/>
          <w:b w:val="0"/>
          <w:bCs/>
          <w:color w:val="auto"/>
          <w:sz w:val="28"/>
          <w:szCs w:val="28"/>
          <w:lang w:val="en-US" w:eastAsia="zh-CN"/>
        </w:rPr>
        <w:t>3</w:t>
      </w:r>
      <w:r>
        <w:rPr>
          <w:rFonts w:hint="eastAsia" w:ascii="Times New Roman" w:hAnsi="Times New Roman" w:cs="Times New Roman"/>
          <w:b w:val="0"/>
          <w:bCs/>
          <w:color w:val="auto"/>
          <w:sz w:val="28"/>
          <w:szCs w:val="28"/>
          <w:lang w:eastAsia="zh-CN"/>
        </w:rPr>
        <w:t>）</w:t>
      </w:r>
      <w:r>
        <w:rPr>
          <w:rFonts w:hint="eastAsia" w:ascii="Times New Roman" w:hAnsi="Times New Roman" w:cs="Times New Roman"/>
          <w:b w:val="0"/>
          <w:bCs/>
          <w:color w:val="auto"/>
          <w:sz w:val="28"/>
          <w:szCs w:val="28"/>
          <w:lang w:val="en-US" w:eastAsia="zh-CN"/>
        </w:rPr>
        <w:t>准</w:t>
      </w:r>
      <w:r>
        <w:rPr>
          <w:rFonts w:hint="default" w:ascii="Times New Roman" w:hAnsi="Times New Roman" w:cs="Times New Roman"/>
          <w:b w:val="0"/>
          <w:bCs/>
          <w:color w:val="auto"/>
          <w:sz w:val="28"/>
          <w:szCs w:val="28"/>
        </w:rPr>
        <w:t>保护区</w:t>
      </w:r>
    </w:p>
    <w:p w14:paraId="59E1E1D2">
      <w:pPr>
        <w:pStyle w:val="10"/>
        <w:rPr>
          <w:rFonts w:hint="default"/>
          <w:color w:val="auto"/>
        </w:rPr>
      </w:pPr>
      <w:r>
        <w:rPr>
          <w:rFonts w:hint="eastAsia" w:ascii="Times New Roman" w:hAnsi="Times New Roman" w:cs="Times New Roman"/>
          <w:color w:val="auto"/>
          <w:lang w:val="en-US" w:eastAsia="zh-CN"/>
        </w:rPr>
        <w:t>2眼水源井的准保护区范围划定以一级保护区范围边界外扩30m区域。</w:t>
      </w:r>
    </w:p>
    <w:p w14:paraId="53004D44">
      <w:pPr>
        <w:keepNext/>
        <w:keepLines/>
        <w:widowControl w:val="0"/>
        <w:spacing w:before="260" w:after="260" w:line="416" w:lineRule="auto"/>
        <w:jc w:val="left"/>
        <w:outlineLvl w:val="1"/>
        <w:rPr>
          <w:rFonts w:hint="default" w:ascii="Times New Roman" w:hAnsi="Times New Roman" w:eastAsia="宋体" w:cs="Times New Roman"/>
          <w:b/>
          <w:bCs/>
          <w:color w:val="auto"/>
          <w:kern w:val="2"/>
          <w:sz w:val="30"/>
          <w:szCs w:val="32"/>
          <w:lang w:val="en-US" w:eastAsia="zh-CN" w:bidi="ar-SA"/>
        </w:rPr>
      </w:pPr>
      <w:bookmarkStart w:id="135" w:name="_Toc42592596"/>
      <w:bookmarkStart w:id="136" w:name="_Toc21307"/>
      <w:r>
        <w:rPr>
          <w:rFonts w:hint="default" w:ascii="Times New Roman" w:hAnsi="Times New Roman" w:eastAsia="宋体" w:cs="Times New Roman"/>
          <w:b/>
          <w:bCs/>
          <w:color w:val="auto"/>
          <w:kern w:val="2"/>
          <w:sz w:val="30"/>
          <w:szCs w:val="32"/>
          <w:lang w:val="en-US" w:eastAsia="zh-CN" w:bidi="ar-SA"/>
        </w:rPr>
        <w:t>6.3保护区设置</w:t>
      </w:r>
      <w:bookmarkEnd w:id="133"/>
      <w:bookmarkEnd w:id="134"/>
      <w:bookmarkEnd w:id="135"/>
      <w:bookmarkEnd w:id="136"/>
    </w:p>
    <w:p w14:paraId="7D2CB4B9">
      <w:pPr>
        <w:spacing w:line="600" w:lineRule="atLeas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（1）为方便管理，依据保护区划分的分析、计算结果，结合水源保护区的地形、地标、地物特点，最终确定各级保护区的界线。</w:t>
      </w:r>
    </w:p>
    <w:p w14:paraId="5439B3F8">
      <w:pPr>
        <w:spacing w:line="600" w:lineRule="atLeast"/>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 w:val="28"/>
          <w:szCs w:val="28"/>
        </w:rPr>
        <w:t>（2）按照《饮用水水源保护区标志技术要求（HT/J433）》有关规定，设立饮用水水源地保护区标志，包括界标、界桩、宣传牌等措施，总投资</w:t>
      </w:r>
      <w:r>
        <w:rPr>
          <w:rFonts w:hint="eastAsia" w:ascii="Times New Roman" w:hAnsi="Times New Roman" w:cs="Times New Roman"/>
          <w:color w:val="auto"/>
          <w:sz w:val="28"/>
          <w:szCs w:val="28"/>
          <w:lang w:val="en-US" w:eastAsia="zh-CN"/>
        </w:rPr>
        <w:t>47.6</w:t>
      </w:r>
      <w:r>
        <w:rPr>
          <w:rFonts w:hint="default" w:ascii="Times New Roman" w:hAnsi="Times New Roman" w:cs="Times New Roman"/>
          <w:color w:val="auto"/>
          <w:sz w:val="28"/>
          <w:szCs w:val="28"/>
          <w:lang w:val="en-US" w:eastAsia="zh-CN"/>
        </w:rPr>
        <w:t>万</w:t>
      </w:r>
      <w:r>
        <w:rPr>
          <w:rFonts w:hint="default" w:ascii="Times New Roman" w:hAnsi="Times New Roman" w:eastAsia="宋体" w:cs="Times New Roman"/>
          <w:color w:val="auto"/>
          <w:sz w:val="28"/>
          <w:szCs w:val="28"/>
        </w:rPr>
        <w:t>元。</w:t>
      </w:r>
    </w:p>
    <w:p w14:paraId="6326D7AF">
      <w:pPr>
        <w:pStyle w:val="11"/>
        <w:rPr>
          <w:rFonts w:hint="default" w:ascii="Times New Roman" w:hAnsi="Times New Roman" w:cs="Times New Roman"/>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7D24D9C2">
      <w:pPr>
        <w:rPr>
          <w:rFonts w:hint="eastAsia" w:ascii="仿宋" w:hAnsi="仿宋" w:eastAsia="仿宋" w:cs="仿宋"/>
          <w:b/>
          <w:bCs/>
          <w:color w:val="auto"/>
          <w:sz w:val="44"/>
          <w:szCs w:val="44"/>
          <w:lang w:val="en-US" w:eastAsia="zh-CN"/>
        </w:rPr>
      </w:pPr>
      <w:bookmarkStart w:id="137" w:name="_Toc29540"/>
    </w:p>
    <w:p w14:paraId="56FB9B5A">
      <w:pPr>
        <w:rPr>
          <w:rFonts w:hint="eastAsia" w:ascii="仿宋" w:hAnsi="仿宋" w:eastAsia="仿宋" w:cs="仿宋"/>
          <w:b/>
          <w:bCs/>
          <w:color w:val="auto"/>
          <w:sz w:val="44"/>
          <w:szCs w:val="44"/>
          <w:lang w:val="en-US" w:eastAsia="zh-CN"/>
        </w:rPr>
      </w:pPr>
    </w:p>
    <w:p w14:paraId="3BFD1BDB">
      <w:pPr>
        <w:rPr>
          <w:rFonts w:hint="eastAsia" w:ascii="仿宋" w:hAnsi="仿宋" w:eastAsia="仿宋" w:cs="仿宋"/>
          <w:b/>
          <w:bCs/>
          <w:color w:val="auto"/>
          <w:sz w:val="44"/>
          <w:szCs w:val="44"/>
          <w:lang w:val="en-US" w:eastAsia="zh-CN"/>
        </w:rPr>
      </w:pPr>
    </w:p>
    <w:p w14:paraId="1165787A">
      <w:pPr>
        <w:rPr>
          <w:rFonts w:hint="eastAsia" w:ascii="仿宋" w:hAnsi="仿宋" w:eastAsia="仿宋" w:cs="仿宋"/>
          <w:b/>
          <w:bCs/>
          <w:color w:val="auto"/>
          <w:sz w:val="44"/>
          <w:szCs w:val="44"/>
          <w:lang w:val="en-US" w:eastAsia="zh-CN"/>
        </w:rPr>
      </w:pPr>
    </w:p>
    <w:p w14:paraId="654F650C">
      <w:pPr>
        <w:jc w:val="center"/>
        <w:rPr>
          <w:rFonts w:hint="eastAsia" w:ascii="仿宋" w:hAnsi="仿宋" w:eastAsia="仿宋" w:cs="仿宋"/>
          <w:b/>
          <w:bCs/>
          <w:color w:val="auto"/>
          <w:sz w:val="44"/>
          <w:szCs w:val="44"/>
          <w:lang w:val="en-US" w:eastAsia="zh-CN"/>
        </w:rPr>
      </w:pPr>
      <w:r>
        <w:rPr>
          <w:rFonts w:hint="eastAsia" w:ascii="仿宋" w:hAnsi="仿宋" w:eastAsia="仿宋" w:cs="仿宋"/>
          <w:b/>
          <w:bCs/>
          <w:color w:val="auto"/>
          <w:sz w:val="44"/>
          <w:szCs w:val="44"/>
          <w:lang w:val="en-US" w:eastAsia="zh-CN"/>
        </w:rPr>
        <w:t>饮用水水源保护区</w:t>
      </w:r>
    </w:p>
    <w:p w14:paraId="561EBB01">
      <w:pPr>
        <w:jc w:val="center"/>
        <w:rPr>
          <w:rFonts w:hint="eastAsia" w:ascii="仿宋" w:hAnsi="仿宋" w:eastAsia="仿宋" w:cs="仿宋"/>
          <w:b/>
          <w:bCs/>
          <w:color w:val="auto"/>
          <w:sz w:val="44"/>
          <w:szCs w:val="44"/>
          <w:lang w:val="en-US" w:eastAsia="zh-CN"/>
        </w:rPr>
      </w:pPr>
      <w:r>
        <w:rPr>
          <w:rFonts w:hint="eastAsia" w:ascii="仿宋" w:hAnsi="仿宋" w:eastAsia="仿宋" w:cs="仿宋"/>
          <w:b/>
          <w:bCs/>
          <w:color w:val="auto"/>
          <w:sz w:val="44"/>
          <w:szCs w:val="44"/>
          <w:lang w:val="en-US" w:eastAsia="zh-CN"/>
        </w:rPr>
        <w:t>划分方案、图件及有关说明</w:t>
      </w:r>
    </w:p>
    <w:p w14:paraId="53CCD372">
      <w:pPr>
        <w:jc w:val="center"/>
        <w:rPr>
          <w:rFonts w:hint="eastAsia" w:ascii="黑体" w:hAnsi="黑体" w:eastAsia="黑体" w:cs="黑体"/>
          <w:b/>
          <w:color w:val="auto"/>
          <w:sz w:val="44"/>
          <w:szCs w:val="44"/>
          <w:highlight w:val="none"/>
          <w:lang w:val="en-US" w:eastAsia="zh-CN"/>
        </w:rPr>
      </w:pPr>
    </w:p>
    <w:p w14:paraId="0FB1E1B5">
      <w:pPr>
        <w:jc w:val="center"/>
        <w:rPr>
          <w:rFonts w:hint="eastAsia" w:ascii="黑体" w:hAnsi="黑体" w:eastAsia="黑体" w:cs="黑体"/>
          <w:b/>
          <w:color w:val="auto"/>
          <w:sz w:val="44"/>
          <w:szCs w:val="44"/>
          <w:highlight w:val="none"/>
          <w:lang w:val="en-US" w:eastAsia="zh-CN"/>
        </w:rPr>
      </w:pPr>
    </w:p>
    <w:p w14:paraId="01CD08EC">
      <w:pPr>
        <w:jc w:val="center"/>
        <w:rPr>
          <w:rFonts w:hint="eastAsia" w:ascii="黑体" w:hAnsi="黑体" w:eastAsia="黑体" w:cs="黑体"/>
          <w:b/>
          <w:color w:val="auto"/>
          <w:sz w:val="44"/>
          <w:szCs w:val="44"/>
          <w:highlight w:val="none"/>
          <w:lang w:val="en-US" w:eastAsia="zh-CN"/>
        </w:rPr>
      </w:pPr>
    </w:p>
    <w:p w14:paraId="1F00B6A7">
      <w:pPr>
        <w:jc w:val="center"/>
        <w:rPr>
          <w:rFonts w:hint="eastAsia" w:ascii="黑体" w:hAnsi="黑体" w:eastAsia="黑体" w:cs="黑体"/>
          <w:b/>
          <w:color w:val="auto"/>
          <w:sz w:val="44"/>
          <w:szCs w:val="44"/>
          <w:highlight w:val="none"/>
          <w:lang w:val="en-US" w:eastAsia="zh-CN"/>
        </w:rPr>
      </w:pPr>
    </w:p>
    <w:p w14:paraId="3F8C5806">
      <w:pPr>
        <w:jc w:val="center"/>
        <w:rPr>
          <w:rFonts w:hint="eastAsia" w:ascii="黑体" w:hAnsi="黑体" w:eastAsia="黑体" w:cs="黑体"/>
          <w:b/>
          <w:color w:val="auto"/>
          <w:sz w:val="44"/>
          <w:szCs w:val="44"/>
          <w:highlight w:val="none"/>
          <w:lang w:val="en-US" w:eastAsia="zh-CN"/>
        </w:rPr>
      </w:pPr>
    </w:p>
    <w:p w14:paraId="2F9203AB">
      <w:pPr>
        <w:jc w:val="center"/>
        <w:rPr>
          <w:rFonts w:hint="eastAsia" w:ascii="黑体" w:hAnsi="黑体" w:eastAsia="黑体" w:cs="黑体"/>
          <w:b/>
          <w:color w:val="auto"/>
          <w:sz w:val="44"/>
          <w:szCs w:val="44"/>
          <w:highlight w:val="none"/>
          <w:lang w:val="en-US" w:eastAsia="zh-CN"/>
        </w:rPr>
      </w:pPr>
    </w:p>
    <w:p w14:paraId="272B99C7">
      <w:pPr>
        <w:jc w:val="center"/>
        <w:rPr>
          <w:rFonts w:hint="eastAsia" w:ascii="黑体" w:hAnsi="黑体" w:eastAsia="黑体" w:cs="黑体"/>
          <w:b/>
          <w:color w:val="auto"/>
          <w:sz w:val="44"/>
          <w:szCs w:val="44"/>
          <w:highlight w:val="none"/>
          <w:lang w:val="en-US" w:eastAsia="zh-CN"/>
        </w:rPr>
      </w:pPr>
    </w:p>
    <w:p w14:paraId="6F01D4E4">
      <w:pPr>
        <w:jc w:val="center"/>
        <w:rPr>
          <w:rFonts w:hint="eastAsia" w:ascii="黑体" w:hAnsi="黑体" w:eastAsia="黑体" w:cs="黑体"/>
          <w:b/>
          <w:color w:val="auto"/>
          <w:sz w:val="44"/>
          <w:szCs w:val="44"/>
          <w:highlight w:val="none"/>
          <w:lang w:val="en-US" w:eastAsia="zh-CN"/>
        </w:rPr>
      </w:pPr>
    </w:p>
    <w:p w14:paraId="6A9EEFE6">
      <w:pPr>
        <w:jc w:val="center"/>
        <w:rPr>
          <w:rFonts w:hint="eastAsia" w:ascii="黑体" w:hAnsi="黑体" w:eastAsia="黑体" w:cs="黑体"/>
          <w:b/>
          <w:color w:val="auto"/>
          <w:sz w:val="44"/>
          <w:szCs w:val="44"/>
          <w:highlight w:val="none"/>
          <w:lang w:val="en-US" w:eastAsia="zh-CN"/>
        </w:rPr>
      </w:pPr>
    </w:p>
    <w:p w14:paraId="5F2AD0E8">
      <w:pPr>
        <w:jc w:val="center"/>
        <w:rPr>
          <w:rFonts w:hint="eastAsia" w:ascii="黑体" w:hAnsi="黑体" w:eastAsia="黑体" w:cs="黑体"/>
          <w:b/>
          <w:color w:val="auto"/>
          <w:sz w:val="44"/>
          <w:szCs w:val="44"/>
          <w:highlight w:val="none"/>
          <w:lang w:val="en-US" w:eastAsia="zh-CN"/>
        </w:rPr>
      </w:pPr>
    </w:p>
    <w:p w14:paraId="32D01FEE">
      <w:pPr>
        <w:jc w:val="center"/>
        <w:rPr>
          <w:rFonts w:hint="eastAsia" w:ascii="黑体" w:hAnsi="黑体" w:eastAsia="黑体" w:cs="黑体"/>
          <w:b/>
          <w:color w:val="auto"/>
          <w:sz w:val="44"/>
          <w:szCs w:val="44"/>
          <w:highlight w:val="none"/>
          <w:lang w:val="en-US" w:eastAsia="zh-CN"/>
        </w:rPr>
      </w:pPr>
    </w:p>
    <w:p w14:paraId="0F2C4DA4">
      <w:pPr>
        <w:jc w:val="center"/>
        <w:rPr>
          <w:rFonts w:hint="eastAsia" w:ascii="黑体" w:hAnsi="黑体" w:eastAsia="黑体" w:cs="黑体"/>
          <w:b/>
          <w:color w:val="auto"/>
          <w:sz w:val="44"/>
          <w:szCs w:val="44"/>
          <w:highlight w:val="none"/>
          <w:lang w:val="en-US" w:eastAsia="zh-CN"/>
        </w:rPr>
      </w:pPr>
    </w:p>
    <w:p w14:paraId="21260B65">
      <w:pPr>
        <w:jc w:val="center"/>
        <w:rPr>
          <w:rFonts w:hint="eastAsia" w:ascii="黑体" w:hAnsi="黑体" w:eastAsia="黑体" w:cs="黑体"/>
          <w:b/>
          <w:color w:val="auto"/>
          <w:sz w:val="44"/>
          <w:szCs w:val="44"/>
          <w:highlight w:val="none"/>
        </w:rPr>
      </w:pPr>
      <w:r>
        <w:rPr>
          <w:rFonts w:hint="eastAsia" w:ascii="黑体" w:hAnsi="黑体" w:eastAsia="黑体" w:cs="黑体"/>
          <w:b/>
          <w:color w:val="auto"/>
          <w:sz w:val="44"/>
          <w:szCs w:val="44"/>
          <w:highlight w:val="none"/>
          <w:lang w:val="en-US" w:eastAsia="zh-CN"/>
        </w:rPr>
        <w:t>西安市灞桥区</w:t>
      </w:r>
      <w:r>
        <w:rPr>
          <w:rFonts w:hint="eastAsia" w:ascii="黑体" w:hAnsi="黑体" w:eastAsia="黑体" w:cs="黑体"/>
          <w:b/>
          <w:color w:val="auto"/>
          <w:sz w:val="44"/>
          <w:szCs w:val="44"/>
          <w:highlight w:val="none"/>
        </w:rPr>
        <w:t>人民政府</w:t>
      </w:r>
    </w:p>
    <w:p w14:paraId="6B833E7E">
      <w:pPr>
        <w:jc w:val="center"/>
        <w:rPr>
          <w:rFonts w:hint="eastAsia" w:ascii="黑体" w:hAnsi="黑体" w:eastAsia="黑体" w:cs="黑体"/>
          <w:b/>
          <w:color w:val="auto"/>
          <w:sz w:val="44"/>
          <w:szCs w:val="44"/>
        </w:rPr>
      </w:pPr>
      <w:r>
        <w:rPr>
          <w:rFonts w:hint="eastAsia" w:ascii="黑体" w:hAnsi="黑体" w:eastAsia="黑体" w:cs="黑体"/>
          <w:b/>
          <w:color w:val="auto"/>
          <w:sz w:val="44"/>
          <w:szCs w:val="44"/>
          <w:lang w:eastAsia="zh-CN"/>
        </w:rPr>
        <w:t>二〇二</w:t>
      </w:r>
      <w:r>
        <w:rPr>
          <w:rFonts w:hint="eastAsia" w:ascii="黑体" w:hAnsi="黑体" w:eastAsia="黑体" w:cs="黑体"/>
          <w:b/>
          <w:color w:val="auto"/>
          <w:sz w:val="44"/>
          <w:szCs w:val="44"/>
          <w:lang w:val="en-US" w:eastAsia="zh-CN"/>
        </w:rPr>
        <w:t>二</w:t>
      </w:r>
      <w:r>
        <w:rPr>
          <w:rFonts w:hint="eastAsia" w:ascii="黑体" w:hAnsi="黑体" w:eastAsia="黑体" w:cs="黑体"/>
          <w:b/>
          <w:color w:val="auto"/>
          <w:sz w:val="44"/>
          <w:szCs w:val="44"/>
        </w:rPr>
        <w:t>年</w:t>
      </w:r>
      <w:r>
        <w:rPr>
          <w:rFonts w:hint="eastAsia" w:ascii="黑体" w:hAnsi="黑体" w:eastAsia="黑体" w:cs="黑体"/>
          <w:b/>
          <w:color w:val="auto"/>
          <w:sz w:val="44"/>
          <w:szCs w:val="44"/>
          <w:lang w:val="en-US" w:eastAsia="zh-CN"/>
        </w:rPr>
        <w:t>十</w:t>
      </w:r>
      <w:r>
        <w:rPr>
          <w:rFonts w:hint="eastAsia" w:ascii="黑体" w:hAnsi="黑体" w:eastAsia="黑体" w:cs="黑体"/>
          <w:b/>
          <w:color w:val="auto"/>
          <w:sz w:val="44"/>
          <w:szCs w:val="44"/>
        </w:rPr>
        <w:t>月</w:t>
      </w:r>
    </w:p>
    <w:p w14:paraId="1198088E">
      <w:pPr>
        <w:rPr>
          <w:rFonts w:hint="eastAsia" w:ascii="黑体" w:hAnsi="黑体" w:eastAsia="黑体" w:cs="黑体"/>
          <w:b/>
          <w:color w:val="auto"/>
          <w:sz w:val="44"/>
          <w:szCs w:val="44"/>
        </w:rPr>
      </w:pPr>
      <w:r>
        <w:rPr>
          <w:rFonts w:hint="eastAsia" w:ascii="黑体" w:hAnsi="黑体" w:eastAsia="黑体" w:cs="黑体"/>
          <w:b/>
          <w:color w:val="auto"/>
          <w:sz w:val="44"/>
          <w:szCs w:val="44"/>
        </w:rPr>
        <w:br w:type="page"/>
      </w:r>
    </w:p>
    <w:p w14:paraId="63ECE7C6">
      <w:pPr>
        <w:jc w:val="center"/>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饮用水水源保护区划分方案、图件及有关说明</w:t>
      </w:r>
    </w:p>
    <w:p w14:paraId="0E4B9039">
      <w:pPr>
        <w:numPr>
          <w:ilvl w:val="0"/>
          <w:numId w:val="8"/>
        </w:numPr>
        <w:rPr>
          <w:rFonts w:hint="eastAsia"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保护区划分方案文字说明</w:t>
      </w:r>
    </w:p>
    <w:p w14:paraId="1D4391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b w:val="0"/>
          <w:bCs w:val="0"/>
          <w:color w:val="auto"/>
          <w:sz w:val="28"/>
          <w:szCs w:val="28"/>
          <w:lang w:val="en-US" w:eastAsia="zh-CN"/>
        </w:rPr>
      </w:pPr>
      <w:r>
        <w:rPr>
          <w:rFonts w:hint="eastAsia" w:ascii="Times New Roman" w:hAnsi="Times New Roman" w:cs="Times New Roman"/>
          <w:b w:val="0"/>
          <w:bCs w:val="0"/>
          <w:color w:val="auto"/>
          <w:sz w:val="28"/>
          <w:szCs w:val="28"/>
          <w:lang w:val="en-US" w:eastAsia="zh-CN"/>
        </w:rPr>
        <w:t>西安市灞桥区狄寨街道狄寨村水源地共涉及水源井2口，保护区一级保护区和准保护区范围分别如下：</w:t>
      </w:r>
    </w:p>
    <w:p w14:paraId="1A2662FC">
      <w:pPr>
        <w:spacing w:line="360" w:lineRule="auto"/>
        <w:ind w:firstLine="562" w:firstLineChars="20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1、一级保护区</w:t>
      </w:r>
    </w:p>
    <w:p w14:paraId="2DDFDC3E">
      <w:pPr>
        <w:pStyle w:val="10"/>
        <w:rPr>
          <w:rFonts w:hint="default" w:ascii="Times New Roman" w:hAnsi="Times New Roman" w:eastAsia="宋体" w:cs="Times New Roman"/>
          <w:b/>
          <w:color w:val="auto"/>
          <w:sz w:val="28"/>
          <w:szCs w:val="28"/>
          <w:lang w:val="en-US" w:eastAsia="zh-CN"/>
        </w:rPr>
      </w:pPr>
      <w:r>
        <w:rPr>
          <w:rFonts w:hint="eastAsia"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val="en-US" w:eastAsia="zh-CN"/>
        </w:rPr>
        <w:t>#水源井位于井房内，</w:t>
      </w:r>
      <w:r>
        <w:rPr>
          <w:rFonts w:hint="default" w:ascii="Times New Roman" w:hAnsi="Times New Roman" w:cs="Times New Roman"/>
          <w:color w:val="auto"/>
          <w:sz w:val="28"/>
          <w:szCs w:val="28"/>
        </w:rPr>
        <w:t>划定</w:t>
      </w:r>
      <w:r>
        <w:rPr>
          <w:rFonts w:hint="default" w:ascii="Times New Roman" w:hAnsi="Times New Roman" w:cs="Times New Roman"/>
          <w:color w:val="auto"/>
          <w:sz w:val="28"/>
          <w:szCs w:val="28"/>
          <w:lang w:val="en-US" w:eastAsia="zh-CN"/>
        </w:rPr>
        <w:t>一级保护区范围</w:t>
      </w:r>
      <w:r>
        <w:rPr>
          <w:rFonts w:hint="eastAsia" w:ascii="Times New Roman" w:hAnsi="Times New Roman" w:cs="Times New Roman"/>
          <w:color w:val="auto"/>
          <w:sz w:val="28"/>
          <w:szCs w:val="28"/>
          <w:lang w:val="en-US" w:eastAsia="zh-CN"/>
        </w:rPr>
        <w:t>以1#取水井为中心</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北侧距离井口23m，东侧距离井口7m，西侧距离井口3m，南侧距离井口7m的矩形区域，</w:t>
      </w:r>
      <w:r>
        <w:rPr>
          <w:rFonts w:hint="default" w:ascii="Times New Roman" w:hAnsi="Times New Roman" w:cs="Times New Roman"/>
          <w:color w:val="auto"/>
          <w:sz w:val="28"/>
          <w:szCs w:val="28"/>
          <w:lang w:val="en-US" w:eastAsia="zh-CN"/>
        </w:rPr>
        <w:t>面积为</w:t>
      </w:r>
      <w:r>
        <w:rPr>
          <w:rFonts w:hint="eastAsia" w:ascii="Times New Roman" w:hAnsi="Times New Roman" w:cs="Times New Roman"/>
          <w:color w:val="auto"/>
          <w:sz w:val="28"/>
          <w:szCs w:val="28"/>
          <w:lang w:val="en-US" w:eastAsia="zh-CN"/>
        </w:rPr>
        <w:t>300</w:t>
      </w:r>
      <w:r>
        <w:rPr>
          <w:rFonts w:hint="default" w:ascii="Times New Roman" w:hAnsi="Times New Roman" w:cs="Times New Roman"/>
          <w:color w:val="auto"/>
          <w:sz w:val="28"/>
          <w:szCs w:val="28"/>
          <w:lang w:val="en-US" w:eastAsia="zh-CN"/>
        </w:rPr>
        <w:t>m</w:t>
      </w:r>
      <w:r>
        <w:rPr>
          <w:rFonts w:hint="default" w:ascii="Times New Roman" w:hAnsi="Times New Roman" w:cs="Times New Roman"/>
          <w:color w:val="auto"/>
          <w:sz w:val="28"/>
          <w:szCs w:val="28"/>
          <w:vertAlign w:val="superscript"/>
          <w:lang w:val="en-US" w:eastAsia="zh-CN"/>
        </w:rPr>
        <w:t>2</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全部为陆域，水质保护目标为</w:t>
      </w:r>
      <w:r>
        <w:rPr>
          <w:rFonts w:hint="default" w:ascii="Times New Roman" w:hAnsi="Times New Roman" w:eastAsia="宋体" w:cs="Times New Roman"/>
          <w:color w:val="auto"/>
          <w:sz w:val="28"/>
          <w:szCs w:val="28"/>
        </w:rPr>
        <w:t>《地下水质量标准》（GB/T14848-2017）</w:t>
      </w:r>
      <w:r>
        <w:rPr>
          <w:rFonts w:hint="eastAsia" w:ascii="Times New Roman" w:hAnsi="Times New Roman" w:cs="Times New Roman"/>
          <w:color w:val="auto"/>
          <w:sz w:val="28"/>
          <w:szCs w:val="28"/>
          <w:lang w:val="en-US" w:eastAsia="zh-CN"/>
        </w:rPr>
        <w:t>的III类标准。</w:t>
      </w:r>
    </w:p>
    <w:p w14:paraId="0B11F6C9">
      <w:pPr>
        <w:spacing w:line="360" w:lineRule="auto"/>
        <w:ind w:firstLine="560" w:firstLineChars="200"/>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lang w:val="en-US" w:eastAsia="zh-CN"/>
        </w:rPr>
        <w:t>#水源井位于井房内，</w:t>
      </w:r>
      <w:r>
        <w:rPr>
          <w:rFonts w:hint="default" w:ascii="Times New Roman" w:hAnsi="Times New Roman" w:cs="Times New Roman"/>
          <w:color w:val="auto"/>
          <w:sz w:val="28"/>
          <w:szCs w:val="28"/>
        </w:rPr>
        <w:t>划定</w:t>
      </w:r>
      <w:r>
        <w:rPr>
          <w:rFonts w:hint="default" w:ascii="Times New Roman" w:hAnsi="Times New Roman" w:cs="Times New Roman"/>
          <w:color w:val="auto"/>
          <w:sz w:val="28"/>
          <w:szCs w:val="28"/>
          <w:lang w:val="en-US" w:eastAsia="zh-CN"/>
        </w:rPr>
        <w:t>一级保护区范围</w:t>
      </w:r>
      <w:r>
        <w:rPr>
          <w:rFonts w:hint="eastAsia" w:ascii="Times New Roman" w:hAnsi="Times New Roman" w:cs="Times New Roman"/>
          <w:color w:val="auto"/>
          <w:sz w:val="28"/>
          <w:szCs w:val="28"/>
          <w:lang w:val="en-US" w:eastAsia="zh-CN"/>
        </w:rPr>
        <w:t>以2#取水井为中心</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南侧距离井口2m，东侧距离井口3m，西侧距离井口12m，北侧距离井口10m的矩形区域，</w:t>
      </w:r>
      <w:r>
        <w:rPr>
          <w:rFonts w:hint="default" w:ascii="Times New Roman" w:hAnsi="Times New Roman" w:cs="Times New Roman"/>
          <w:color w:val="auto"/>
          <w:sz w:val="28"/>
          <w:szCs w:val="28"/>
          <w:lang w:val="en-US" w:eastAsia="zh-CN"/>
        </w:rPr>
        <w:t>面积为</w:t>
      </w:r>
      <w:r>
        <w:rPr>
          <w:rFonts w:hint="eastAsia" w:ascii="Times New Roman" w:hAnsi="Times New Roman" w:cs="Times New Roman"/>
          <w:color w:val="auto"/>
          <w:sz w:val="28"/>
          <w:szCs w:val="28"/>
          <w:lang w:val="en-US" w:eastAsia="zh-CN"/>
        </w:rPr>
        <w:t>180</w:t>
      </w:r>
      <w:r>
        <w:rPr>
          <w:rFonts w:hint="default" w:ascii="Times New Roman" w:hAnsi="Times New Roman" w:cs="Times New Roman"/>
          <w:color w:val="auto"/>
          <w:sz w:val="28"/>
          <w:szCs w:val="28"/>
          <w:lang w:val="en-US" w:eastAsia="zh-CN"/>
        </w:rPr>
        <w:t>m</w:t>
      </w:r>
      <w:r>
        <w:rPr>
          <w:rFonts w:hint="default" w:ascii="Times New Roman" w:hAnsi="Times New Roman" w:cs="Times New Roman"/>
          <w:color w:val="auto"/>
          <w:sz w:val="28"/>
          <w:szCs w:val="28"/>
          <w:vertAlign w:val="superscript"/>
          <w:lang w:val="en-US" w:eastAsia="zh-CN"/>
        </w:rPr>
        <w:t>2</w:t>
      </w:r>
      <w:r>
        <w:rPr>
          <w:rFonts w:hint="default"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lang w:val="en-US" w:eastAsia="zh-CN"/>
        </w:rPr>
        <w:t>全部为陆域，水质保护目标为</w:t>
      </w:r>
      <w:r>
        <w:rPr>
          <w:rFonts w:hint="default" w:ascii="Times New Roman" w:hAnsi="Times New Roman" w:eastAsia="宋体" w:cs="Times New Roman"/>
          <w:color w:val="auto"/>
          <w:sz w:val="28"/>
          <w:szCs w:val="28"/>
        </w:rPr>
        <w:t>《地下水质量标准》（GB/T14848-2017）</w:t>
      </w:r>
      <w:r>
        <w:rPr>
          <w:rFonts w:hint="eastAsia" w:ascii="Times New Roman" w:hAnsi="Times New Roman" w:cs="Times New Roman"/>
          <w:color w:val="auto"/>
          <w:sz w:val="28"/>
          <w:szCs w:val="28"/>
          <w:lang w:val="en-US" w:eastAsia="zh-CN"/>
        </w:rPr>
        <w:t>的III类标准。</w:t>
      </w:r>
    </w:p>
    <w:p w14:paraId="769A3918">
      <w:pPr>
        <w:spacing w:line="360" w:lineRule="auto"/>
        <w:ind w:firstLine="562" w:firstLineChars="20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2、二级保护区</w:t>
      </w:r>
    </w:p>
    <w:p w14:paraId="3A9BD406">
      <w:pPr>
        <w:autoSpaceDE w:val="0"/>
        <w:autoSpaceDN w:val="0"/>
        <w:adjustRightInd w:val="0"/>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不设二级保护区。</w:t>
      </w:r>
    </w:p>
    <w:p w14:paraId="20FA0C01">
      <w:pPr>
        <w:pStyle w:val="10"/>
        <w:rPr>
          <w:rFonts w:hint="eastAsia" w:eastAsia="宋体"/>
          <w:b/>
          <w:bCs/>
          <w:color w:val="auto"/>
          <w:lang w:val="en-US" w:eastAsia="zh-CN"/>
        </w:rPr>
      </w:pPr>
      <w:r>
        <w:rPr>
          <w:rFonts w:hint="eastAsia" w:ascii="Times New Roman" w:hAnsi="Times New Roman" w:cs="Times New Roman"/>
          <w:b/>
          <w:bCs/>
          <w:color w:val="auto"/>
          <w:sz w:val="28"/>
          <w:szCs w:val="28"/>
          <w:lang w:val="en-US" w:eastAsia="zh-CN"/>
        </w:rPr>
        <w:t>3、准保护区</w:t>
      </w:r>
    </w:p>
    <w:p w14:paraId="6BA9841A">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2眼水源井的准保护区范围划定以一级保护区范围边界外扩30m区域。</w:t>
      </w:r>
    </w:p>
    <w:p w14:paraId="3BDE49BB">
      <w:pPr>
        <w:numPr>
          <w:ilvl w:val="0"/>
          <w:numId w:val="8"/>
        </w:numPr>
        <w:rPr>
          <w:rFonts w:hint="eastAsia"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附表</w:t>
      </w:r>
    </w:p>
    <w:p w14:paraId="2FBF22CF">
      <w:pPr>
        <w:pStyle w:val="10"/>
        <w:numPr>
          <w:ilvl w:val="0"/>
          <w:numId w:val="0"/>
        </w:numPr>
        <w:ind w:leftChars="0"/>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附表1  饮用水水源保护区登记表</w:t>
      </w:r>
    </w:p>
    <w:p w14:paraId="31A64DC6">
      <w:pPr>
        <w:bidi w:val="0"/>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附表2  饮用水水源保护区一级保护区边界拐点坐标</w:t>
      </w:r>
    </w:p>
    <w:p w14:paraId="499A4BD6">
      <w:pPr>
        <w:pStyle w:val="10"/>
        <w:ind w:left="0" w:leftChars="0" w:firstLine="0" w:firstLineChars="0"/>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附表3  饮用水水源保护区准保护区边界拐点坐标</w:t>
      </w:r>
    </w:p>
    <w:p w14:paraId="6529436B">
      <w:pPr>
        <w:bidi w:val="0"/>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附表4  饮用水水源保护区污染源汇总表</w:t>
      </w:r>
    </w:p>
    <w:p w14:paraId="54950FCD">
      <w:pPr>
        <w:numPr>
          <w:ilvl w:val="0"/>
          <w:numId w:val="8"/>
        </w:numPr>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附图</w:t>
      </w:r>
      <w:bookmarkEnd w:id="137"/>
    </w:p>
    <w:p w14:paraId="4109B6F1">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fldChar w:fldCharType="begin"/>
      </w:r>
      <w:r>
        <w:rPr>
          <w:rFonts w:hint="default" w:ascii="Times New Roman" w:hAnsi="Times New Roman" w:eastAsia="宋体" w:cs="Times New Roman"/>
          <w:color w:val="auto"/>
          <w:kern w:val="2"/>
          <w:sz w:val="28"/>
          <w:szCs w:val="28"/>
          <w:lang w:val="en-US" w:eastAsia="zh-CN" w:bidi="ar-SA"/>
        </w:rPr>
        <w:instrText xml:space="preserve"> HYPERLINK \l _Toc19598 </w:instrText>
      </w:r>
      <w:r>
        <w:rPr>
          <w:rFonts w:hint="default" w:ascii="Times New Roman" w:hAnsi="Times New Roman" w:eastAsia="宋体" w:cs="Times New Roman"/>
          <w:color w:val="auto"/>
          <w:kern w:val="2"/>
          <w:sz w:val="28"/>
          <w:szCs w:val="28"/>
          <w:lang w:val="en-US" w:eastAsia="zh-CN" w:bidi="ar-SA"/>
        </w:rPr>
        <w:fldChar w:fldCharType="separate"/>
      </w:r>
      <w:r>
        <w:rPr>
          <w:rFonts w:hint="default" w:ascii="Times New Roman" w:hAnsi="Times New Roman" w:eastAsia="宋体" w:cs="Times New Roman"/>
          <w:color w:val="auto"/>
          <w:kern w:val="2"/>
          <w:sz w:val="28"/>
          <w:szCs w:val="28"/>
          <w:lang w:val="en-US" w:eastAsia="zh-CN" w:bidi="ar-SA"/>
        </w:rPr>
        <w:t>附图</w:t>
      </w:r>
      <w:r>
        <w:rPr>
          <w:rFonts w:hint="eastAsia" w:ascii="Times New Roman" w:hAnsi="Times New Roman" w:eastAsia="宋体" w:cs="Times New Roman"/>
          <w:color w:val="auto"/>
          <w:kern w:val="2"/>
          <w:sz w:val="28"/>
          <w:szCs w:val="28"/>
          <w:lang w:val="en-US" w:eastAsia="zh-CN" w:bidi="ar-SA"/>
        </w:rPr>
        <w:t>1</w:t>
      </w:r>
      <w:r>
        <w:rPr>
          <w:rFonts w:hint="default" w:ascii="Times New Roman" w:hAnsi="Times New Roman" w:eastAsia="宋体" w:cs="Times New Roman"/>
          <w:color w:val="auto"/>
          <w:kern w:val="2"/>
          <w:sz w:val="28"/>
          <w:szCs w:val="28"/>
          <w:lang w:val="en-US" w:eastAsia="zh-CN" w:bidi="ar-SA"/>
        </w:rPr>
        <w:t>：饮用水源</w:t>
      </w:r>
      <w:r>
        <w:rPr>
          <w:rFonts w:hint="eastAsia" w:ascii="Times New Roman" w:hAnsi="Times New Roman" w:eastAsia="宋体" w:cs="Times New Roman"/>
          <w:color w:val="auto"/>
          <w:kern w:val="2"/>
          <w:sz w:val="28"/>
          <w:szCs w:val="28"/>
          <w:lang w:val="en-US" w:eastAsia="zh-CN" w:bidi="ar-SA"/>
        </w:rPr>
        <w:t>井位置及周边污染源位置图</w:t>
      </w:r>
      <w:r>
        <w:rPr>
          <w:rFonts w:hint="default" w:ascii="Times New Roman" w:hAnsi="Times New Roman" w:eastAsia="宋体" w:cs="Times New Roman"/>
          <w:color w:val="auto"/>
          <w:kern w:val="2"/>
          <w:sz w:val="28"/>
          <w:szCs w:val="28"/>
          <w:lang w:val="en-US" w:eastAsia="zh-CN" w:bidi="ar-SA"/>
        </w:rPr>
        <w:fldChar w:fldCharType="end"/>
      </w:r>
    </w:p>
    <w:p w14:paraId="34015A11">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fldChar w:fldCharType="begin"/>
      </w:r>
      <w:r>
        <w:rPr>
          <w:rFonts w:hint="default" w:ascii="Times New Roman" w:hAnsi="Times New Roman" w:eastAsia="宋体" w:cs="Times New Roman"/>
          <w:color w:val="auto"/>
          <w:kern w:val="2"/>
          <w:sz w:val="28"/>
          <w:szCs w:val="28"/>
          <w:lang w:val="en-US" w:eastAsia="zh-CN" w:bidi="ar-SA"/>
        </w:rPr>
        <w:instrText xml:space="preserve"> HYPERLINK \l _Toc17912 </w:instrText>
      </w:r>
      <w:r>
        <w:rPr>
          <w:rFonts w:hint="default" w:ascii="Times New Roman" w:hAnsi="Times New Roman" w:eastAsia="宋体" w:cs="Times New Roman"/>
          <w:color w:val="auto"/>
          <w:kern w:val="2"/>
          <w:sz w:val="28"/>
          <w:szCs w:val="28"/>
          <w:lang w:val="en-US" w:eastAsia="zh-CN" w:bidi="ar-SA"/>
        </w:rPr>
        <w:fldChar w:fldCharType="separate"/>
      </w:r>
      <w:r>
        <w:rPr>
          <w:rFonts w:hint="default" w:ascii="Times New Roman" w:hAnsi="Times New Roman" w:eastAsia="宋体" w:cs="Times New Roman"/>
          <w:color w:val="auto"/>
          <w:kern w:val="2"/>
          <w:sz w:val="28"/>
          <w:szCs w:val="28"/>
          <w:lang w:val="en-US" w:eastAsia="zh-CN" w:bidi="ar-SA"/>
        </w:rPr>
        <w:t>附图</w:t>
      </w:r>
      <w:r>
        <w:rPr>
          <w:rFonts w:hint="eastAsia" w:ascii="Times New Roman" w:hAnsi="Times New Roman" w:eastAsia="宋体" w:cs="Times New Roman"/>
          <w:color w:val="auto"/>
          <w:kern w:val="2"/>
          <w:sz w:val="28"/>
          <w:szCs w:val="28"/>
          <w:lang w:val="en-US" w:eastAsia="zh-CN" w:bidi="ar-SA"/>
        </w:rPr>
        <w:t>2</w:t>
      </w:r>
      <w:r>
        <w:rPr>
          <w:rFonts w:hint="default" w:ascii="Times New Roman" w:hAnsi="Times New Roman" w:eastAsia="宋体" w:cs="Times New Roman"/>
          <w:color w:val="auto"/>
          <w:kern w:val="2"/>
          <w:sz w:val="28"/>
          <w:szCs w:val="28"/>
          <w:lang w:val="en-US" w:eastAsia="zh-CN" w:bidi="ar-SA"/>
        </w:rPr>
        <w:t>：</w:t>
      </w:r>
      <w:r>
        <w:rPr>
          <w:rFonts w:hint="eastAsia" w:ascii="Times New Roman" w:hAnsi="Times New Roman" w:eastAsia="宋体" w:cs="Times New Roman"/>
          <w:color w:val="auto"/>
          <w:kern w:val="2"/>
          <w:sz w:val="28"/>
          <w:szCs w:val="28"/>
          <w:lang w:val="en-US" w:eastAsia="zh-CN" w:bidi="ar-SA"/>
        </w:rPr>
        <w:t>饮用水源保护区划分红线及拐点坐标图</w:t>
      </w:r>
      <w:r>
        <w:rPr>
          <w:rFonts w:hint="default" w:ascii="Times New Roman" w:hAnsi="Times New Roman" w:eastAsia="宋体" w:cs="Times New Roman"/>
          <w:color w:val="auto"/>
          <w:kern w:val="2"/>
          <w:sz w:val="28"/>
          <w:szCs w:val="28"/>
          <w:lang w:val="en-US" w:eastAsia="zh-CN" w:bidi="ar-SA"/>
        </w:rPr>
        <w:fldChar w:fldCharType="end"/>
      </w:r>
    </w:p>
    <w:p w14:paraId="7311FE1D">
      <w:pPr>
        <w:numPr>
          <w:ilvl w:val="0"/>
          <w:numId w:val="8"/>
        </w:numPr>
        <w:rPr>
          <w:rFonts w:hint="default" w:ascii="Times New Roman" w:hAnsi="Times New Roman" w:cs="Times New Roman"/>
          <w:b/>
          <w:bCs/>
          <w:color w:val="auto"/>
          <w:sz w:val="28"/>
          <w:szCs w:val="28"/>
          <w:lang w:val="en-US" w:eastAsia="zh-CN"/>
        </w:rPr>
      </w:pPr>
      <w:bookmarkStart w:id="138" w:name="_Toc31590"/>
      <w:r>
        <w:rPr>
          <w:rFonts w:hint="default" w:ascii="Times New Roman" w:hAnsi="Times New Roman" w:cs="Times New Roman"/>
          <w:b/>
          <w:bCs/>
          <w:color w:val="auto"/>
          <w:sz w:val="28"/>
          <w:szCs w:val="28"/>
          <w:lang w:val="en-US" w:eastAsia="zh-CN"/>
        </w:rPr>
        <w:t>附件</w:t>
      </w:r>
      <w:bookmarkEnd w:id="138"/>
    </w:p>
    <w:p w14:paraId="571D171E">
      <w:pPr>
        <w:pStyle w:val="1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eastAsia="zh-CN"/>
        </w:rPr>
        <w:t>附件</w:t>
      </w:r>
      <w:r>
        <w:rPr>
          <w:rFonts w:hint="eastAsia" w:ascii="Times New Roman" w:hAnsi="Times New Roman" w:cs="Times New Roman"/>
          <w:color w:val="auto"/>
          <w:sz w:val="28"/>
          <w:szCs w:val="28"/>
          <w:lang w:val="en-US" w:eastAsia="zh-CN"/>
        </w:rPr>
        <w:t>1：例行监测</w:t>
      </w:r>
    </w:p>
    <w:p w14:paraId="132390BB">
      <w:pPr>
        <w:keepNext w:val="0"/>
        <w:keepLines w:val="0"/>
        <w:pageBreakBefore w:val="0"/>
        <w:widowControl w:val="0"/>
        <w:kinsoku/>
        <w:wordWrap/>
        <w:overflowPunct/>
        <w:topLinePunct w:val="0"/>
        <w:autoSpaceDE/>
        <w:autoSpaceDN/>
        <w:bidi w:val="0"/>
        <w:adjustRightInd/>
        <w:snapToGrid/>
        <w:spacing w:line="600" w:lineRule="atLeast"/>
        <w:ind w:firstLine="560" w:firstLineChars="200"/>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附件</w:t>
      </w:r>
      <w:r>
        <w:rPr>
          <w:rFonts w:hint="eastAsia" w:ascii="Times New Roman" w:hAnsi="Times New Roman" w:cs="Times New Roman"/>
          <w:color w:val="auto"/>
          <w:sz w:val="28"/>
          <w:szCs w:val="28"/>
          <w:lang w:val="en-US" w:eastAsia="zh-CN"/>
        </w:rPr>
        <w:t>2</w:t>
      </w:r>
      <w:r>
        <w:rPr>
          <w:rFonts w:hint="eastAsia" w:ascii="Times New Roman" w:hAnsi="Times New Roman" w:eastAsia="宋体" w:cs="Times New Roman"/>
          <w:color w:val="auto"/>
          <w:sz w:val="28"/>
          <w:szCs w:val="28"/>
          <w:lang w:val="en-US" w:eastAsia="zh-CN"/>
        </w:rPr>
        <w:t>：成井资料（剖面图）</w:t>
      </w:r>
    </w:p>
    <w:p w14:paraId="0530692D">
      <w:pPr>
        <w:pStyle w:val="11"/>
        <w:pBdr>
          <w:bottom w:val="none" w:color="auto" w:sz="0" w:space="1"/>
        </w:pBdr>
        <w:spacing w:line="360" w:lineRule="auto"/>
        <w:jc w:val="both"/>
        <w:rPr>
          <w:rFonts w:hint="eastAsia" w:ascii="Times New Roman" w:hAnsi="Times New Roman" w:cs="Times New Roman"/>
          <w:color w:val="auto"/>
          <w:sz w:val="28"/>
          <w:szCs w:val="28"/>
          <w:u w:val="none"/>
          <w:lang w:val="en-US" w:eastAsia="zh-CN"/>
        </w:rPr>
      </w:pPr>
      <w:r>
        <w:rPr>
          <w:rFonts w:hint="eastAsia" w:ascii="Times New Roman" w:hAnsi="Times New Roman" w:cs="Times New Roman"/>
          <w:color w:val="auto"/>
          <w:sz w:val="28"/>
          <w:szCs w:val="28"/>
          <w:u w:val="none"/>
          <w:lang w:val="en-US" w:eastAsia="zh-CN"/>
        </w:rPr>
        <w:t xml:space="preserve">    附件3：西安市生态环境局关于开展乡镇级集中式饮用水水源保护区划定工作的函</w:t>
      </w:r>
    </w:p>
    <w:p w14:paraId="05D77A31">
      <w:pPr>
        <w:rPr>
          <w:rFonts w:hint="eastAsia" w:ascii="Times New Roman" w:hAnsi="Times New Roman" w:cs="Times New Roman"/>
          <w:color w:val="auto"/>
          <w:sz w:val="28"/>
          <w:szCs w:val="28"/>
          <w:u w:val="none"/>
          <w:lang w:val="en-US" w:eastAsia="zh-CN"/>
        </w:rPr>
      </w:pPr>
      <w:r>
        <w:rPr>
          <w:rFonts w:hint="eastAsia" w:ascii="Times New Roman" w:hAnsi="Times New Roman" w:cs="Times New Roman"/>
          <w:color w:val="auto"/>
          <w:sz w:val="28"/>
          <w:szCs w:val="28"/>
          <w:u w:val="none"/>
          <w:lang w:val="en-US" w:eastAsia="zh-CN"/>
        </w:rPr>
        <w:br w:type="page"/>
      </w:r>
    </w:p>
    <w:p w14:paraId="20D01577">
      <w:pPr>
        <w:pStyle w:val="10"/>
        <w:numPr>
          <w:ilvl w:val="0"/>
          <w:numId w:val="0"/>
        </w:numPr>
        <w:ind w:leftChars="0"/>
        <w:jc w:val="center"/>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附表1  饮用水水源保护区登记表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539"/>
        <w:gridCol w:w="711"/>
        <w:gridCol w:w="464"/>
        <w:gridCol w:w="661"/>
        <w:gridCol w:w="463"/>
        <w:gridCol w:w="887"/>
        <w:gridCol w:w="2312"/>
        <w:gridCol w:w="575"/>
        <w:gridCol w:w="760"/>
        <w:gridCol w:w="705"/>
      </w:tblGrid>
      <w:tr w14:paraId="1196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0" w:type="auto"/>
            <w:vMerge w:val="restart"/>
            <w:vAlign w:val="center"/>
          </w:tcPr>
          <w:p w14:paraId="2B1E9DB9">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城市</w:t>
            </w:r>
          </w:p>
        </w:tc>
        <w:tc>
          <w:tcPr>
            <w:tcW w:w="0" w:type="auto"/>
            <w:vMerge w:val="restart"/>
            <w:vAlign w:val="center"/>
          </w:tcPr>
          <w:p w14:paraId="004D31C7">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水源地名称</w:t>
            </w:r>
          </w:p>
        </w:tc>
        <w:tc>
          <w:tcPr>
            <w:tcW w:w="0" w:type="auto"/>
            <w:vMerge w:val="restart"/>
            <w:vAlign w:val="center"/>
          </w:tcPr>
          <w:p w14:paraId="1B0CB8AE">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所属水系（干流）</w:t>
            </w:r>
          </w:p>
        </w:tc>
        <w:tc>
          <w:tcPr>
            <w:tcW w:w="0" w:type="auto"/>
            <w:vMerge w:val="restart"/>
            <w:vAlign w:val="center"/>
          </w:tcPr>
          <w:p w14:paraId="56443126">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水源类型</w:t>
            </w:r>
          </w:p>
        </w:tc>
        <w:tc>
          <w:tcPr>
            <w:tcW w:w="1125" w:type="dxa"/>
            <w:gridSpan w:val="2"/>
            <w:vAlign w:val="center"/>
          </w:tcPr>
          <w:p w14:paraId="2A23A2D5">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水源建设与使用年限</w:t>
            </w:r>
          </w:p>
        </w:tc>
        <w:tc>
          <w:tcPr>
            <w:tcW w:w="888" w:type="dxa"/>
            <w:vMerge w:val="restart"/>
            <w:vAlign w:val="center"/>
          </w:tcPr>
          <w:p w14:paraId="3AFAA692">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设计供水量（万吨/年）</w:t>
            </w:r>
          </w:p>
        </w:tc>
        <w:tc>
          <w:tcPr>
            <w:tcW w:w="0" w:type="auto"/>
            <w:vMerge w:val="restart"/>
            <w:vAlign w:val="center"/>
          </w:tcPr>
          <w:p w14:paraId="7B1F19B4">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水质保护目标</w:t>
            </w:r>
          </w:p>
        </w:tc>
        <w:tc>
          <w:tcPr>
            <w:tcW w:w="0" w:type="auto"/>
            <w:gridSpan w:val="2"/>
            <w:vAlign w:val="center"/>
          </w:tcPr>
          <w:p w14:paraId="1F180083">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保护区面积</w:t>
            </w:r>
          </w:p>
        </w:tc>
        <w:tc>
          <w:tcPr>
            <w:tcW w:w="0" w:type="auto"/>
            <w:vMerge w:val="restart"/>
            <w:vAlign w:val="center"/>
          </w:tcPr>
          <w:p w14:paraId="2FDDD796">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服务范围</w:t>
            </w:r>
          </w:p>
        </w:tc>
      </w:tr>
      <w:tr w14:paraId="53E0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0" w:type="auto"/>
            <w:vMerge w:val="continue"/>
            <w:vAlign w:val="center"/>
          </w:tcPr>
          <w:p w14:paraId="755C8E31">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0" w:type="auto"/>
            <w:vMerge w:val="continue"/>
            <w:vAlign w:val="center"/>
          </w:tcPr>
          <w:p w14:paraId="258734D5">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0" w:type="auto"/>
            <w:vMerge w:val="continue"/>
            <w:vAlign w:val="center"/>
          </w:tcPr>
          <w:p w14:paraId="368231A7">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0" w:type="auto"/>
            <w:vMerge w:val="continue"/>
            <w:vAlign w:val="center"/>
          </w:tcPr>
          <w:p w14:paraId="6822E636">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0" w:type="auto"/>
            <w:vAlign w:val="center"/>
          </w:tcPr>
          <w:p w14:paraId="5A6AB5AD">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建设年限</w:t>
            </w:r>
          </w:p>
        </w:tc>
        <w:tc>
          <w:tcPr>
            <w:tcW w:w="464" w:type="dxa"/>
            <w:vAlign w:val="center"/>
          </w:tcPr>
          <w:p w14:paraId="6F8C14C4">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使用年限</w:t>
            </w:r>
          </w:p>
        </w:tc>
        <w:tc>
          <w:tcPr>
            <w:tcW w:w="888" w:type="dxa"/>
            <w:vMerge w:val="continue"/>
            <w:vAlign w:val="center"/>
          </w:tcPr>
          <w:p w14:paraId="24FFC660">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rPr>
            </w:pPr>
          </w:p>
        </w:tc>
        <w:tc>
          <w:tcPr>
            <w:tcW w:w="0" w:type="auto"/>
            <w:vMerge w:val="continue"/>
            <w:vAlign w:val="center"/>
          </w:tcPr>
          <w:p w14:paraId="030DDF91">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rPr>
            </w:pPr>
          </w:p>
        </w:tc>
        <w:tc>
          <w:tcPr>
            <w:tcW w:w="0" w:type="auto"/>
            <w:vAlign w:val="center"/>
          </w:tcPr>
          <w:p w14:paraId="61144810">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一级保护区</w:t>
            </w:r>
          </w:p>
        </w:tc>
        <w:tc>
          <w:tcPr>
            <w:tcW w:w="0" w:type="auto"/>
            <w:vAlign w:val="center"/>
          </w:tcPr>
          <w:p w14:paraId="09C8FB04">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准保护区</w:t>
            </w:r>
          </w:p>
        </w:tc>
        <w:tc>
          <w:tcPr>
            <w:tcW w:w="0" w:type="auto"/>
            <w:vMerge w:val="continue"/>
            <w:vAlign w:val="center"/>
          </w:tcPr>
          <w:p w14:paraId="5DA7FB80">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rPr>
            </w:pPr>
          </w:p>
        </w:tc>
      </w:tr>
      <w:tr w14:paraId="4EE1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525DDF1">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西安</w:t>
            </w:r>
          </w:p>
        </w:tc>
        <w:tc>
          <w:tcPr>
            <w:tcW w:w="0" w:type="auto"/>
            <w:vAlign w:val="center"/>
          </w:tcPr>
          <w:p w14:paraId="24BCF2F1">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狄寨街道狄寨村水源地</w:t>
            </w:r>
          </w:p>
        </w:tc>
        <w:tc>
          <w:tcPr>
            <w:tcW w:w="0" w:type="auto"/>
            <w:vAlign w:val="center"/>
          </w:tcPr>
          <w:p w14:paraId="4C00B513">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灞河</w:t>
            </w:r>
          </w:p>
        </w:tc>
        <w:tc>
          <w:tcPr>
            <w:tcW w:w="0" w:type="auto"/>
            <w:vAlign w:val="center"/>
          </w:tcPr>
          <w:p w14:paraId="22B21D7F">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地下水</w:t>
            </w:r>
          </w:p>
        </w:tc>
        <w:tc>
          <w:tcPr>
            <w:tcW w:w="0" w:type="auto"/>
            <w:vAlign w:val="center"/>
          </w:tcPr>
          <w:p w14:paraId="291CFAE6">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2015</w:t>
            </w:r>
          </w:p>
        </w:tc>
        <w:tc>
          <w:tcPr>
            <w:tcW w:w="464" w:type="dxa"/>
            <w:vAlign w:val="center"/>
          </w:tcPr>
          <w:p w14:paraId="6BF1792F">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888" w:type="dxa"/>
            <w:vAlign w:val="center"/>
          </w:tcPr>
          <w:p w14:paraId="4669FC63">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31.536</w:t>
            </w:r>
          </w:p>
        </w:tc>
        <w:tc>
          <w:tcPr>
            <w:tcW w:w="0" w:type="auto"/>
            <w:vAlign w:val="center"/>
          </w:tcPr>
          <w:p w14:paraId="777B095F">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《地下水质量标准》（GB/T14848-2017）</w:t>
            </w:r>
            <w:r>
              <w:rPr>
                <w:rFonts w:hint="default" w:ascii="Times New Roman" w:hAnsi="Times New Roman" w:eastAsia="宋体" w:cs="Times New Roman"/>
                <w:color w:val="auto"/>
                <w:sz w:val="21"/>
                <w:szCs w:val="21"/>
                <w:vertAlign w:val="baseline"/>
                <w:lang w:val="en-US" w:eastAsia="zh-CN"/>
              </w:rPr>
              <w:t>的III类标准</w:t>
            </w:r>
          </w:p>
        </w:tc>
        <w:tc>
          <w:tcPr>
            <w:tcW w:w="0" w:type="auto"/>
            <w:vAlign w:val="center"/>
          </w:tcPr>
          <w:p w14:paraId="7F253580">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480</w:t>
            </w:r>
          </w:p>
        </w:tc>
        <w:tc>
          <w:tcPr>
            <w:tcW w:w="0" w:type="auto"/>
            <w:vAlign w:val="center"/>
          </w:tcPr>
          <w:p w14:paraId="167A924B">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11700</w:t>
            </w:r>
          </w:p>
        </w:tc>
        <w:tc>
          <w:tcPr>
            <w:tcW w:w="0" w:type="auto"/>
            <w:vAlign w:val="center"/>
          </w:tcPr>
          <w:p w14:paraId="41D55F75">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狄寨村5000余人</w:t>
            </w:r>
          </w:p>
        </w:tc>
      </w:tr>
    </w:tbl>
    <w:p w14:paraId="5D02F037">
      <w:pPr>
        <w:pStyle w:val="12"/>
        <w:rPr>
          <w:rFonts w:hint="default" w:ascii="Times New Roman" w:hAnsi="Times New Roman" w:eastAsia="宋体" w:cs="Times New Roman"/>
          <w:color w:val="auto"/>
          <w:sz w:val="28"/>
          <w:szCs w:val="28"/>
        </w:rPr>
      </w:pPr>
    </w:p>
    <w:p w14:paraId="4CC023DB">
      <w:pPr>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p>
    <w:p w14:paraId="338F08AB">
      <w:pPr>
        <w:pStyle w:val="12"/>
        <w:ind w:left="0" w:leftChars="0" w:firstLine="0" w:firstLineChars="0"/>
        <w:jc w:val="center"/>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附表2  饮用水水源保护区一级保护区边界拐点坐标</w:t>
      </w:r>
    </w:p>
    <w:tbl>
      <w:tblPr>
        <w:tblStyle w:val="1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812"/>
        <w:gridCol w:w="1895"/>
        <w:gridCol w:w="1813"/>
        <w:gridCol w:w="1934"/>
      </w:tblGrid>
      <w:tr w14:paraId="6FAB2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31" w:type="pct"/>
            <w:vMerge w:val="restart"/>
            <w:tcBorders>
              <w:tl2br w:val="nil"/>
              <w:tr2bl w:val="nil"/>
            </w:tcBorders>
            <w:noWrap/>
            <w:vAlign w:val="center"/>
          </w:tcPr>
          <w:p w14:paraId="664CAE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水井编号</w:t>
            </w:r>
          </w:p>
        </w:tc>
        <w:tc>
          <w:tcPr>
            <w:tcW w:w="4568" w:type="pct"/>
            <w:gridSpan w:val="4"/>
            <w:tcBorders>
              <w:tl2br w:val="nil"/>
              <w:tr2bl w:val="nil"/>
            </w:tcBorders>
            <w:noWrap/>
            <w:vAlign w:val="center"/>
          </w:tcPr>
          <w:p w14:paraId="57AF2FF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Cs w:val="21"/>
                <w:lang w:eastAsia="zh-CN"/>
              </w:rPr>
            </w:pPr>
            <w:r>
              <w:rPr>
                <w:rFonts w:hint="eastAsia" w:ascii="Times New Roman" w:hAnsi="Times New Roman" w:cs="Times New Roman"/>
                <w:b/>
                <w:bCs/>
                <w:color w:val="auto"/>
                <w:kern w:val="0"/>
                <w:szCs w:val="21"/>
                <w:lang w:eastAsia="zh-CN"/>
              </w:rPr>
              <w:t>一级保护区</w:t>
            </w:r>
          </w:p>
        </w:tc>
      </w:tr>
      <w:tr w14:paraId="48A42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31" w:type="pct"/>
            <w:vMerge w:val="continue"/>
            <w:tcBorders>
              <w:tl2br w:val="nil"/>
              <w:tr2bl w:val="nil"/>
            </w:tcBorders>
            <w:noWrap/>
            <w:vAlign w:val="center"/>
          </w:tcPr>
          <w:p w14:paraId="02C2399E">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lang w:val="en-US" w:eastAsia="zh-CN"/>
              </w:rPr>
            </w:pPr>
          </w:p>
        </w:tc>
        <w:tc>
          <w:tcPr>
            <w:tcW w:w="1112" w:type="pct"/>
            <w:tcBorders>
              <w:tl2br w:val="nil"/>
              <w:tr2bl w:val="nil"/>
            </w:tcBorders>
            <w:noWrap/>
            <w:vAlign w:val="center"/>
          </w:tcPr>
          <w:p w14:paraId="5955F54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1点</w:t>
            </w:r>
            <w:r>
              <w:rPr>
                <w:rFonts w:hint="default" w:ascii="Times New Roman" w:hAnsi="Times New Roman" w:cs="Times New Roman"/>
                <w:b/>
                <w:bCs/>
                <w:color w:val="auto"/>
                <w:kern w:val="0"/>
                <w:szCs w:val="21"/>
                <w:lang w:eastAsia="zh-CN"/>
              </w:rPr>
              <w:t>（西北角）</w:t>
            </w:r>
          </w:p>
        </w:tc>
        <w:tc>
          <w:tcPr>
            <w:tcW w:w="1161" w:type="pct"/>
            <w:tcBorders>
              <w:tl2br w:val="nil"/>
              <w:tr2bl w:val="nil"/>
            </w:tcBorders>
            <w:noWrap/>
            <w:vAlign w:val="center"/>
          </w:tcPr>
          <w:p w14:paraId="49D8E86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2点（东北角）</w:t>
            </w:r>
          </w:p>
        </w:tc>
        <w:tc>
          <w:tcPr>
            <w:tcW w:w="1112" w:type="pct"/>
            <w:tcBorders>
              <w:tl2br w:val="nil"/>
              <w:tr2bl w:val="nil"/>
            </w:tcBorders>
            <w:noWrap/>
            <w:vAlign w:val="center"/>
          </w:tcPr>
          <w:p w14:paraId="6842E5C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3点（东南角）</w:t>
            </w:r>
          </w:p>
        </w:tc>
        <w:tc>
          <w:tcPr>
            <w:tcW w:w="1181" w:type="pct"/>
            <w:tcBorders>
              <w:tl2br w:val="nil"/>
              <w:tr2bl w:val="nil"/>
            </w:tcBorders>
            <w:noWrap/>
            <w:vAlign w:val="center"/>
          </w:tcPr>
          <w:p w14:paraId="3B5392B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4点（西南角）</w:t>
            </w:r>
          </w:p>
        </w:tc>
      </w:tr>
      <w:tr w14:paraId="36B05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431" w:type="pct"/>
            <w:tcBorders>
              <w:tl2br w:val="nil"/>
              <w:tr2bl w:val="nil"/>
            </w:tcBorders>
            <w:noWrap/>
            <w:vAlign w:val="center"/>
          </w:tcPr>
          <w:p w14:paraId="5C6C42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val="0"/>
                <w:bCs/>
                <w:color w:val="auto"/>
                <w:sz w:val="21"/>
                <w:szCs w:val="21"/>
              </w:rPr>
              <w:t>1#井</w:t>
            </w:r>
          </w:p>
        </w:tc>
        <w:tc>
          <w:tcPr>
            <w:tcW w:w="1812" w:type="dxa"/>
            <w:tcBorders>
              <w:tl2br w:val="nil"/>
              <w:tr2bl w:val="nil"/>
            </w:tcBorders>
            <w:noWrap/>
            <w:vAlign w:val="center"/>
          </w:tcPr>
          <w:p w14:paraId="4E402DE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326945.36</w:t>
            </w:r>
          </w:p>
          <w:p w14:paraId="53056FF0">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3788562.49</w:t>
            </w:r>
          </w:p>
        </w:tc>
        <w:tc>
          <w:tcPr>
            <w:tcW w:w="1895" w:type="dxa"/>
            <w:tcBorders>
              <w:tl2br w:val="nil"/>
              <w:tr2bl w:val="nil"/>
            </w:tcBorders>
            <w:noWrap/>
            <w:vAlign w:val="center"/>
          </w:tcPr>
          <w:p w14:paraId="1B8064C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326957.13</w:t>
            </w:r>
          </w:p>
          <w:p w14:paraId="100F505F">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3788556.38</w:t>
            </w:r>
          </w:p>
        </w:tc>
        <w:tc>
          <w:tcPr>
            <w:tcW w:w="1813" w:type="dxa"/>
            <w:tcBorders>
              <w:tl2br w:val="nil"/>
              <w:tr2bl w:val="nil"/>
            </w:tcBorders>
            <w:noWrap/>
            <w:vAlign w:val="center"/>
          </w:tcPr>
          <w:p w14:paraId="11E74A5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326945.25</w:t>
            </w:r>
          </w:p>
          <w:p w14:paraId="28F7696E">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3788529.51</w:t>
            </w:r>
          </w:p>
        </w:tc>
        <w:tc>
          <w:tcPr>
            <w:tcW w:w="1934" w:type="dxa"/>
            <w:tcBorders>
              <w:tl2br w:val="nil"/>
              <w:tr2bl w:val="nil"/>
            </w:tcBorders>
            <w:noWrap/>
            <w:vAlign w:val="center"/>
          </w:tcPr>
          <w:p w14:paraId="6550A90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326894.75</w:t>
            </w:r>
          </w:p>
          <w:p w14:paraId="3CF0C5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3788515.13</w:t>
            </w:r>
          </w:p>
        </w:tc>
      </w:tr>
      <w:tr w14:paraId="5FD36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431" w:type="pct"/>
            <w:tcBorders>
              <w:tl2br w:val="nil"/>
              <w:tr2bl w:val="nil"/>
            </w:tcBorders>
            <w:noWrap/>
            <w:vAlign w:val="center"/>
          </w:tcPr>
          <w:p w14:paraId="2DB435B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井</w:t>
            </w:r>
          </w:p>
        </w:tc>
        <w:tc>
          <w:tcPr>
            <w:tcW w:w="1812" w:type="dxa"/>
            <w:tcBorders>
              <w:tl2br w:val="nil"/>
              <w:tr2bl w:val="nil"/>
            </w:tcBorders>
            <w:noWrap/>
            <w:vAlign w:val="center"/>
          </w:tcPr>
          <w:p w14:paraId="73DA17A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326637.40</w:t>
            </w:r>
          </w:p>
          <w:p w14:paraId="64EC1D0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3788911.24</w:t>
            </w:r>
          </w:p>
        </w:tc>
        <w:tc>
          <w:tcPr>
            <w:tcW w:w="1895" w:type="dxa"/>
            <w:tcBorders>
              <w:tl2br w:val="nil"/>
              <w:tr2bl w:val="nil"/>
            </w:tcBorders>
            <w:noWrap/>
            <w:vAlign w:val="center"/>
          </w:tcPr>
          <w:p w14:paraId="5C44FFC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326651.52</w:t>
            </w:r>
          </w:p>
          <w:p w14:paraId="056430C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3788905.70</w:t>
            </w:r>
          </w:p>
        </w:tc>
        <w:tc>
          <w:tcPr>
            <w:tcW w:w="1813" w:type="dxa"/>
            <w:tcBorders>
              <w:tl2br w:val="nil"/>
              <w:tr2bl w:val="nil"/>
            </w:tcBorders>
            <w:noWrap/>
            <w:vAlign w:val="center"/>
          </w:tcPr>
          <w:p w14:paraId="4265B090">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326646.50</w:t>
            </w:r>
          </w:p>
          <w:p w14:paraId="5A87A10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3788894.71</w:t>
            </w:r>
          </w:p>
        </w:tc>
        <w:tc>
          <w:tcPr>
            <w:tcW w:w="1934" w:type="dxa"/>
            <w:tcBorders>
              <w:tl2br w:val="nil"/>
              <w:tr2bl w:val="nil"/>
            </w:tcBorders>
            <w:noWrap/>
            <w:vAlign w:val="center"/>
          </w:tcPr>
          <w:p w14:paraId="41EE9FE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326632.74</w:t>
            </w:r>
          </w:p>
          <w:p w14:paraId="25029C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3788900.12</w:t>
            </w:r>
          </w:p>
        </w:tc>
      </w:tr>
    </w:tbl>
    <w:p w14:paraId="5138749B">
      <w:pPr>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br w:type="page"/>
      </w:r>
    </w:p>
    <w:p w14:paraId="5320C4BB">
      <w:pPr>
        <w:pStyle w:val="12"/>
        <w:ind w:left="0" w:leftChars="0" w:firstLine="0" w:firstLineChars="0"/>
        <w:jc w:val="center"/>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附表3  饮用水水源保护区准保护区边界拐点坐标</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863"/>
        <w:gridCol w:w="1863"/>
        <w:gridCol w:w="1864"/>
        <w:gridCol w:w="1866"/>
      </w:tblGrid>
      <w:tr w14:paraId="0A64C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8" w:hRule="atLeast"/>
        </w:trPr>
        <w:tc>
          <w:tcPr>
            <w:tcW w:w="466" w:type="pct"/>
            <w:vMerge w:val="restart"/>
            <w:tcBorders>
              <w:tl2br w:val="nil"/>
              <w:tr2bl w:val="nil"/>
            </w:tcBorders>
            <w:noWrap/>
            <w:vAlign w:val="center"/>
          </w:tcPr>
          <w:p w14:paraId="63AD3D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水井编号</w:t>
            </w:r>
          </w:p>
        </w:tc>
        <w:tc>
          <w:tcPr>
            <w:tcW w:w="4533" w:type="pct"/>
            <w:gridSpan w:val="4"/>
            <w:tcBorders>
              <w:tl2br w:val="nil"/>
              <w:tr2bl w:val="nil"/>
            </w:tcBorders>
            <w:noWrap/>
            <w:vAlign w:val="center"/>
          </w:tcPr>
          <w:p w14:paraId="0D58D5B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Cs w:val="21"/>
                <w:lang w:eastAsia="zh-CN"/>
              </w:rPr>
            </w:pPr>
            <w:r>
              <w:rPr>
                <w:rFonts w:hint="eastAsia" w:ascii="Times New Roman" w:hAnsi="Times New Roman" w:cs="Times New Roman"/>
                <w:b/>
                <w:bCs/>
                <w:color w:val="auto"/>
                <w:kern w:val="0"/>
                <w:szCs w:val="21"/>
                <w:lang w:eastAsia="zh-CN"/>
              </w:rPr>
              <w:t>准保护区</w:t>
            </w:r>
          </w:p>
        </w:tc>
      </w:tr>
      <w:tr w14:paraId="36EC2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66" w:type="pct"/>
            <w:vMerge w:val="continue"/>
            <w:tcBorders>
              <w:tl2br w:val="nil"/>
              <w:tr2bl w:val="nil"/>
            </w:tcBorders>
            <w:noWrap/>
            <w:vAlign w:val="center"/>
          </w:tcPr>
          <w:p w14:paraId="10649203">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Cs w:val="21"/>
                <w:lang w:val="en-US" w:eastAsia="zh-CN"/>
              </w:rPr>
            </w:pPr>
          </w:p>
        </w:tc>
        <w:tc>
          <w:tcPr>
            <w:tcW w:w="1133" w:type="pct"/>
            <w:tcBorders>
              <w:tl2br w:val="nil"/>
              <w:tr2bl w:val="nil"/>
            </w:tcBorders>
            <w:noWrap/>
            <w:vAlign w:val="center"/>
          </w:tcPr>
          <w:p w14:paraId="5488556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1点</w:t>
            </w:r>
            <w:r>
              <w:rPr>
                <w:rFonts w:hint="default" w:ascii="Times New Roman" w:hAnsi="Times New Roman" w:cs="Times New Roman"/>
                <w:b/>
                <w:bCs/>
                <w:color w:val="auto"/>
                <w:kern w:val="0"/>
                <w:szCs w:val="21"/>
                <w:lang w:eastAsia="zh-CN"/>
              </w:rPr>
              <w:t>（西北角）</w:t>
            </w:r>
          </w:p>
        </w:tc>
        <w:tc>
          <w:tcPr>
            <w:tcW w:w="1133" w:type="pct"/>
            <w:tcBorders>
              <w:tl2br w:val="nil"/>
              <w:tr2bl w:val="nil"/>
            </w:tcBorders>
            <w:noWrap/>
            <w:vAlign w:val="center"/>
          </w:tcPr>
          <w:p w14:paraId="0CA9913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2点（东北角）</w:t>
            </w:r>
          </w:p>
        </w:tc>
        <w:tc>
          <w:tcPr>
            <w:tcW w:w="1133" w:type="pct"/>
            <w:tcBorders>
              <w:tl2br w:val="nil"/>
              <w:tr2bl w:val="nil"/>
            </w:tcBorders>
            <w:noWrap/>
            <w:vAlign w:val="center"/>
          </w:tcPr>
          <w:p w14:paraId="48EA703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3点（东南角）</w:t>
            </w:r>
          </w:p>
        </w:tc>
        <w:tc>
          <w:tcPr>
            <w:tcW w:w="1133" w:type="pct"/>
            <w:tcBorders>
              <w:tl2br w:val="nil"/>
              <w:tr2bl w:val="nil"/>
            </w:tcBorders>
            <w:noWrap/>
            <w:vAlign w:val="center"/>
          </w:tcPr>
          <w:p w14:paraId="45F94BB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4点（西南角）</w:t>
            </w:r>
          </w:p>
        </w:tc>
      </w:tr>
      <w:tr w14:paraId="0D33E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466" w:type="pct"/>
            <w:tcBorders>
              <w:tl2br w:val="nil"/>
              <w:tr2bl w:val="nil"/>
            </w:tcBorders>
            <w:noWrap/>
            <w:vAlign w:val="center"/>
          </w:tcPr>
          <w:p w14:paraId="69FCBC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val="0"/>
                <w:bCs/>
                <w:color w:val="auto"/>
                <w:sz w:val="21"/>
                <w:szCs w:val="21"/>
              </w:rPr>
              <w:t>1#井</w:t>
            </w:r>
          </w:p>
        </w:tc>
        <w:tc>
          <w:tcPr>
            <w:tcW w:w="1133" w:type="pct"/>
            <w:tcBorders>
              <w:tl2br w:val="nil"/>
              <w:tr2bl w:val="nil"/>
            </w:tcBorders>
            <w:noWrap/>
            <w:vAlign w:val="center"/>
          </w:tcPr>
          <w:p w14:paraId="792FE4B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326928.01</w:t>
            </w:r>
          </w:p>
          <w:p w14:paraId="241EF267">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3788601.18</w:t>
            </w:r>
          </w:p>
        </w:tc>
        <w:tc>
          <w:tcPr>
            <w:tcW w:w="1133" w:type="pct"/>
            <w:tcBorders>
              <w:tl2br w:val="nil"/>
              <w:tr2bl w:val="nil"/>
            </w:tcBorders>
            <w:noWrap/>
            <w:vAlign w:val="center"/>
          </w:tcPr>
          <w:p w14:paraId="35A97CD7">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326997.30</w:t>
            </w:r>
          </w:p>
          <w:p w14:paraId="522A9893">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3788574.64</w:t>
            </w:r>
          </w:p>
        </w:tc>
        <w:tc>
          <w:tcPr>
            <w:tcW w:w="1133" w:type="pct"/>
            <w:tcBorders>
              <w:tl2br w:val="nil"/>
              <w:tr2bl w:val="nil"/>
            </w:tcBorders>
            <w:noWrap/>
            <w:vAlign w:val="center"/>
          </w:tcPr>
          <w:p w14:paraId="4255EB17">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326961.58</w:t>
            </w:r>
          </w:p>
          <w:p w14:paraId="0D061CCE">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3788488.63</w:t>
            </w:r>
          </w:p>
        </w:tc>
        <w:tc>
          <w:tcPr>
            <w:tcW w:w="1133" w:type="pct"/>
            <w:tcBorders>
              <w:tl2br w:val="nil"/>
              <w:tr2bl w:val="nil"/>
            </w:tcBorders>
            <w:noWrap/>
            <w:vAlign w:val="center"/>
          </w:tcPr>
          <w:p w14:paraId="1ADFEF7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326894.75</w:t>
            </w:r>
          </w:p>
          <w:p w14:paraId="5E5EF51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3788515.13</w:t>
            </w:r>
          </w:p>
        </w:tc>
      </w:tr>
      <w:tr w14:paraId="5E558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466" w:type="pct"/>
            <w:tcBorders>
              <w:tl2br w:val="nil"/>
              <w:tr2bl w:val="nil"/>
            </w:tcBorders>
            <w:noWrap/>
            <w:vAlign w:val="center"/>
          </w:tcPr>
          <w:p w14:paraId="15BBFB0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井</w:t>
            </w:r>
          </w:p>
        </w:tc>
        <w:tc>
          <w:tcPr>
            <w:tcW w:w="1133" w:type="pct"/>
            <w:tcBorders>
              <w:tl2br w:val="nil"/>
              <w:tr2bl w:val="nil"/>
            </w:tcBorders>
            <w:noWrap/>
            <w:vAlign w:val="center"/>
          </w:tcPr>
          <w:p w14:paraId="4C58C25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326622.39</w:t>
            </w:r>
          </w:p>
          <w:p w14:paraId="12D6F8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3788949.64</w:t>
            </w:r>
          </w:p>
        </w:tc>
        <w:tc>
          <w:tcPr>
            <w:tcW w:w="1133" w:type="pct"/>
            <w:tcBorders>
              <w:tl2br w:val="nil"/>
              <w:tr2bl w:val="nil"/>
            </w:tcBorders>
            <w:noWrap/>
            <w:vAlign w:val="center"/>
          </w:tcPr>
          <w:p w14:paraId="64E2357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326692.78</w:t>
            </w:r>
          </w:p>
          <w:p w14:paraId="790E9E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3788922.70</w:t>
            </w:r>
          </w:p>
        </w:tc>
        <w:tc>
          <w:tcPr>
            <w:tcW w:w="1133" w:type="pct"/>
            <w:tcBorders>
              <w:tl2br w:val="nil"/>
              <w:tr2bl w:val="nil"/>
            </w:tcBorders>
            <w:noWrap/>
            <w:vAlign w:val="center"/>
          </w:tcPr>
          <w:p w14:paraId="76AB92A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326662.95</w:t>
            </w:r>
          </w:p>
          <w:p w14:paraId="10247C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3788854.07</w:t>
            </w:r>
          </w:p>
        </w:tc>
        <w:tc>
          <w:tcPr>
            <w:tcW w:w="1133" w:type="pct"/>
            <w:tcBorders>
              <w:tl2br w:val="nil"/>
              <w:tr2bl w:val="nil"/>
            </w:tcBorders>
            <w:noWrap/>
            <w:vAlign w:val="center"/>
          </w:tcPr>
          <w:p w14:paraId="2633926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X：</w:t>
            </w:r>
            <w:r>
              <w:rPr>
                <w:rFonts w:hint="default" w:ascii="Times New Roman" w:hAnsi="Times New Roman" w:cs="Times New Roman"/>
                <w:color w:val="auto"/>
                <w:kern w:val="0"/>
                <w:szCs w:val="21"/>
              </w:rPr>
              <w:t>326592.47</w:t>
            </w:r>
          </w:p>
          <w:p w14:paraId="14CC43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Y：</w:t>
            </w:r>
            <w:r>
              <w:rPr>
                <w:rFonts w:hint="default" w:ascii="Times New Roman" w:hAnsi="Times New Roman" w:cs="Times New Roman"/>
                <w:color w:val="auto"/>
                <w:kern w:val="0"/>
                <w:szCs w:val="21"/>
              </w:rPr>
              <w:t>3788882.86</w:t>
            </w:r>
          </w:p>
        </w:tc>
      </w:tr>
    </w:tbl>
    <w:p w14:paraId="04FDB6F2">
      <w:pPr>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br w:type="page"/>
      </w:r>
    </w:p>
    <w:p w14:paraId="34CE8AB9">
      <w:pPr>
        <w:bidi w:val="0"/>
        <w:jc w:val="center"/>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附表4  饮用水水源保护区污染源汇总表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7"/>
        <w:gridCol w:w="1983"/>
        <w:gridCol w:w="1890"/>
        <w:gridCol w:w="927"/>
        <w:gridCol w:w="927"/>
        <w:gridCol w:w="927"/>
      </w:tblGrid>
      <w:tr w14:paraId="0BD2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vAlign w:val="center"/>
          </w:tcPr>
          <w:p w14:paraId="31DE0369">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序号</w:t>
            </w:r>
          </w:p>
        </w:tc>
        <w:tc>
          <w:tcPr>
            <w:tcW w:w="937" w:type="dxa"/>
            <w:vAlign w:val="center"/>
          </w:tcPr>
          <w:p w14:paraId="45813563">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名称</w:t>
            </w:r>
          </w:p>
        </w:tc>
        <w:tc>
          <w:tcPr>
            <w:tcW w:w="1983" w:type="dxa"/>
            <w:vAlign w:val="center"/>
          </w:tcPr>
          <w:p w14:paraId="6C71DFC0">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经度</w:t>
            </w:r>
          </w:p>
        </w:tc>
        <w:tc>
          <w:tcPr>
            <w:tcW w:w="1890" w:type="dxa"/>
            <w:vAlign w:val="center"/>
          </w:tcPr>
          <w:p w14:paraId="68FCA03E">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纬度</w:t>
            </w:r>
          </w:p>
        </w:tc>
        <w:tc>
          <w:tcPr>
            <w:tcW w:w="927" w:type="dxa"/>
            <w:vAlign w:val="center"/>
          </w:tcPr>
          <w:p w14:paraId="1CBBFCC3">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污染源类型</w:t>
            </w:r>
          </w:p>
        </w:tc>
        <w:tc>
          <w:tcPr>
            <w:tcW w:w="927" w:type="dxa"/>
            <w:vAlign w:val="center"/>
          </w:tcPr>
          <w:p w14:paraId="152F27B9">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保护区类型</w:t>
            </w:r>
          </w:p>
        </w:tc>
        <w:tc>
          <w:tcPr>
            <w:tcW w:w="927" w:type="dxa"/>
            <w:vAlign w:val="center"/>
          </w:tcPr>
          <w:p w14:paraId="5FDDFCE6">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水源地</w:t>
            </w:r>
          </w:p>
        </w:tc>
      </w:tr>
      <w:tr w14:paraId="3B9C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vAlign w:val="center"/>
          </w:tcPr>
          <w:p w14:paraId="31442DF8">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937" w:type="dxa"/>
            <w:vAlign w:val="center"/>
          </w:tcPr>
          <w:p w14:paraId="7607B32A">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狄寨村</w:t>
            </w:r>
          </w:p>
        </w:tc>
        <w:tc>
          <w:tcPr>
            <w:tcW w:w="1983" w:type="dxa"/>
            <w:vAlign w:val="center"/>
          </w:tcPr>
          <w:p w14:paraId="7AD331FE">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bidi="ar-SA"/>
              </w:rPr>
              <w:t>E</w:t>
            </w:r>
            <w:r>
              <w:rPr>
                <w:rFonts w:hint="default" w:ascii="Times New Roman" w:hAnsi="Times New Roman" w:eastAsia="宋体" w:cs="Times New Roman"/>
                <w:color w:val="auto"/>
                <w:kern w:val="2"/>
                <w:sz w:val="21"/>
                <w:szCs w:val="21"/>
                <w:vertAlign w:val="baseline"/>
                <w:lang w:val="en-US" w:eastAsia="zh-CN" w:bidi="ar-SA"/>
              </w:rPr>
              <w:t>109.12565231</w:t>
            </w:r>
            <w:r>
              <w:rPr>
                <w:rFonts w:hint="eastAsia" w:ascii="Times New Roman" w:hAnsi="Times New Roman" w:eastAsia="宋体" w:cs="Times New Roman"/>
                <w:color w:val="auto"/>
                <w:kern w:val="2"/>
                <w:sz w:val="21"/>
                <w:szCs w:val="21"/>
                <w:vertAlign w:val="baseline"/>
                <w:lang w:val="en-US" w:eastAsia="zh-CN" w:bidi="ar-SA"/>
              </w:rPr>
              <w:t>°</w:t>
            </w:r>
          </w:p>
        </w:tc>
        <w:tc>
          <w:tcPr>
            <w:tcW w:w="1890" w:type="dxa"/>
            <w:vAlign w:val="center"/>
          </w:tcPr>
          <w:p w14:paraId="12D9FC9B">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bidi="ar-SA"/>
              </w:rPr>
              <w:t>N34.20972600°</w:t>
            </w:r>
          </w:p>
        </w:tc>
        <w:tc>
          <w:tcPr>
            <w:tcW w:w="927" w:type="dxa"/>
            <w:vAlign w:val="center"/>
          </w:tcPr>
          <w:p w14:paraId="53C7C16A">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非点源</w:t>
            </w:r>
          </w:p>
        </w:tc>
        <w:tc>
          <w:tcPr>
            <w:tcW w:w="927" w:type="dxa"/>
            <w:vAlign w:val="center"/>
          </w:tcPr>
          <w:p w14:paraId="50B8C5E0">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准保护区</w:t>
            </w:r>
          </w:p>
        </w:tc>
        <w:tc>
          <w:tcPr>
            <w:tcW w:w="927" w:type="dxa"/>
            <w:vMerge w:val="restart"/>
            <w:vAlign w:val="center"/>
          </w:tcPr>
          <w:p w14:paraId="4FAD202C">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狄寨街道狄寨村水源地</w:t>
            </w:r>
          </w:p>
        </w:tc>
      </w:tr>
      <w:tr w14:paraId="5DD9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vAlign w:val="center"/>
          </w:tcPr>
          <w:p w14:paraId="67490408">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7" w:type="dxa"/>
            <w:vAlign w:val="center"/>
          </w:tcPr>
          <w:p w14:paraId="38698A7D">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狄寨北路</w:t>
            </w:r>
          </w:p>
        </w:tc>
        <w:tc>
          <w:tcPr>
            <w:tcW w:w="1983" w:type="dxa"/>
            <w:vAlign w:val="center"/>
          </w:tcPr>
          <w:p w14:paraId="00F03D4A">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E109.12543774°</w:t>
            </w:r>
          </w:p>
        </w:tc>
        <w:tc>
          <w:tcPr>
            <w:tcW w:w="1890" w:type="dxa"/>
            <w:vAlign w:val="center"/>
          </w:tcPr>
          <w:p w14:paraId="34044CC2">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color w:val="auto"/>
                <w:kern w:val="2"/>
                <w:sz w:val="24"/>
                <w:szCs w:val="24"/>
                <w:vertAlign w:val="baseline"/>
                <w:lang w:val="en-US" w:eastAsia="zh-CN" w:bidi="ar-SA"/>
              </w:rPr>
              <w:t>N34.21174005°</w:t>
            </w:r>
          </w:p>
        </w:tc>
        <w:tc>
          <w:tcPr>
            <w:tcW w:w="927" w:type="dxa"/>
            <w:vAlign w:val="center"/>
          </w:tcPr>
          <w:p w14:paraId="65D89ED9">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流动源</w:t>
            </w:r>
          </w:p>
        </w:tc>
        <w:tc>
          <w:tcPr>
            <w:tcW w:w="927" w:type="dxa"/>
            <w:vAlign w:val="center"/>
          </w:tcPr>
          <w:p w14:paraId="7BCB546C">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准保护区</w:t>
            </w:r>
          </w:p>
        </w:tc>
        <w:tc>
          <w:tcPr>
            <w:tcW w:w="927" w:type="dxa"/>
            <w:vMerge w:val="continue"/>
            <w:vAlign w:val="center"/>
          </w:tcPr>
          <w:p w14:paraId="524E0BA2">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sz w:val="21"/>
                <w:szCs w:val="21"/>
                <w:vertAlign w:val="baseline"/>
                <w:lang w:val="en-US" w:eastAsia="zh-CN"/>
              </w:rPr>
            </w:pPr>
          </w:p>
        </w:tc>
      </w:tr>
      <w:tr w14:paraId="69E1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vAlign w:val="center"/>
          </w:tcPr>
          <w:p w14:paraId="50228C41">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7" w:type="dxa"/>
            <w:vAlign w:val="center"/>
          </w:tcPr>
          <w:p w14:paraId="481844BB">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狄寨村村道</w:t>
            </w:r>
          </w:p>
        </w:tc>
        <w:tc>
          <w:tcPr>
            <w:tcW w:w="1983" w:type="dxa"/>
            <w:vAlign w:val="center"/>
          </w:tcPr>
          <w:p w14:paraId="5B310C67">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E109.12875563°</w:t>
            </w:r>
          </w:p>
        </w:tc>
        <w:tc>
          <w:tcPr>
            <w:tcW w:w="1890" w:type="dxa"/>
            <w:vAlign w:val="center"/>
          </w:tcPr>
          <w:p w14:paraId="4289E4B6">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color w:val="auto"/>
                <w:kern w:val="2"/>
                <w:sz w:val="24"/>
                <w:szCs w:val="24"/>
                <w:vertAlign w:val="baseline"/>
                <w:lang w:val="en-US" w:eastAsia="zh-CN" w:bidi="ar-SA"/>
              </w:rPr>
              <w:t>N34.20857034°</w:t>
            </w:r>
          </w:p>
        </w:tc>
        <w:tc>
          <w:tcPr>
            <w:tcW w:w="927" w:type="dxa"/>
            <w:vAlign w:val="center"/>
          </w:tcPr>
          <w:p w14:paraId="04A3B0C1">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Calibri" w:hAnsi="Calibri"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流动源</w:t>
            </w:r>
          </w:p>
        </w:tc>
        <w:tc>
          <w:tcPr>
            <w:tcW w:w="927" w:type="dxa"/>
            <w:vAlign w:val="center"/>
          </w:tcPr>
          <w:p w14:paraId="781A0E82">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Calibri" w:hAnsi="Calibri"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准保护区</w:t>
            </w:r>
          </w:p>
        </w:tc>
        <w:tc>
          <w:tcPr>
            <w:tcW w:w="927" w:type="dxa"/>
            <w:vMerge w:val="continue"/>
            <w:vAlign w:val="center"/>
          </w:tcPr>
          <w:p w14:paraId="3947751C">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sz w:val="21"/>
                <w:szCs w:val="21"/>
                <w:vertAlign w:val="baseline"/>
                <w:lang w:val="en-US" w:eastAsia="zh-CN"/>
              </w:rPr>
            </w:pPr>
          </w:p>
        </w:tc>
      </w:tr>
    </w:tbl>
    <w:p w14:paraId="7A28572B">
      <w:pPr>
        <w:pStyle w:val="10"/>
        <w:ind w:left="0" w:leftChars="0" w:firstLine="0" w:firstLineChars="0"/>
        <w:rPr>
          <w:rFonts w:hint="eastAsia"/>
          <w:color w:val="auto"/>
          <w:lang w:val="en-US" w:eastAsia="zh-CN"/>
        </w:rPr>
      </w:pPr>
    </w:p>
    <w:p w14:paraId="7347FF95">
      <w:pPr>
        <w:pStyle w:val="12"/>
        <w:jc w:val="both"/>
        <w:rPr>
          <w:rFonts w:hint="default" w:ascii="Times New Roman" w:hAnsi="Times New Roman" w:eastAsia="宋体" w:cs="Times New Roman"/>
          <w:color w:val="auto"/>
          <w:kern w:val="2"/>
          <w:sz w:val="28"/>
          <w:szCs w:val="28"/>
          <w:lang w:val="en-US" w:eastAsia="zh-CN" w:bidi="ar-SA"/>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6AE93C41">
      <w:pPr>
        <w:numPr>
          <w:ilvl w:val="0"/>
          <w:numId w:val="0"/>
        </w:numPr>
        <w:spacing w:line="360" w:lineRule="auto"/>
        <w:outlineLvl w:val="0"/>
        <w:rPr>
          <w:rFonts w:hint="eastAsia" w:ascii="Times New Roman" w:hAnsi="Times New Roman" w:eastAsia="宋体" w:cs="Times New Roman"/>
          <w:color w:val="auto"/>
          <w:sz w:val="28"/>
          <w:szCs w:val="28"/>
          <w:lang w:eastAsia="zh-CN"/>
        </w:rPr>
      </w:pPr>
      <w:bookmarkStart w:id="139" w:name="_Toc11728"/>
      <w:bookmarkStart w:id="140" w:name="_Toc10613"/>
      <w:bookmarkStart w:id="141" w:name="_Toc19598"/>
      <w:bookmarkStart w:id="142" w:name="_Toc7143"/>
      <w:r>
        <w:rPr>
          <w:rFonts w:hint="default" w:ascii="Times New Roman" w:hAnsi="Times New Roman" w:eastAsia="宋体" w:cs="Times New Roman"/>
          <w:color w:val="auto"/>
          <w:sz w:val="28"/>
          <w:szCs w:val="28"/>
        </w:rPr>
        <w:t>附图</w:t>
      </w:r>
      <w:r>
        <w:rPr>
          <w:rFonts w:hint="eastAsia" w:ascii="Times New Roman" w:hAnsi="Times New Roman" w:cs="Times New Roman"/>
          <w:color w:val="auto"/>
          <w:sz w:val="28"/>
          <w:szCs w:val="28"/>
          <w:lang w:val="en-US" w:eastAsia="zh-CN"/>
        </w:rPr>
        <w:t>1</w:t>
      </w:r>
      <w:r>
        <w:rPr>
          <w:rFonts w:hint="default" w:ascii="Times New Roman" w:hAnsi="Times New Roman" w:eastAsia="宋体" w:cs="Times New Roman"/>
          <w:color w:val="auto"/>
          <w:sz w:val="28"/>
          <w:szCs w:val="28"/>
        </w:rPr>
        <w:t>：</w:t>
      </w:r>
      <w:bookmarkEnd w:id="139"/>
      <w:bookmarkEnd w:id="140"/>
      <w:bookmarkEnd w:id="141"/>
      <w:r>
        <w:rPr>
          <w:rFonts w:hint="default" w:ascii="Times New Roman" w:hAnsi="Times New Roman" w:eastAsia="宋体" w:cs="Times New Roman"/>
          <w:color w:val="auto"/>
          <w:sz w:val="24"/>
          <w:szCs w:val="24"/>
          <w:highlight w:val="none"/>
        </w:rPr>
        <w:t>饮用水源</w:t>
      </w:r>
      <w:r>
        <w:rPr>
          <w:rFonts w:hint="eastAsia" w:ascii="Times New Roman" w:hAnsi="Times New Roman" w:cs="Times New Roman"/>
          <w:color w:val="auto"/>
          <w:sz w:val="24"/>
          <w:szCs w:val="24"/>
          <w:highlight w:val="none"/>
          <w:lang w:val="en-US" w:eastAsia="zh-CN"/>
        </w:rPr>
        <w:t>井位置及周边污染源位置图</w:t>
      </w:r>
      <w:bookmarkEnd w:id="142"/>
    </w:p>
    <w:p w14:paraId="3498A6FC">
      <w:pPr>
        <w:numPr>
          <w:ilvl w:val="0"/>
          <w:numId w:val="0"/>
        </w:numPr>
        <w:spacing w:line="360" w:lineRule="auto"/>
        <w:jc w:val="center"/>
        <w:rPr>
          <w:rFonts w:hint="default" w:ascii="Times New Roman" w:hAnsi="Times New Roman" w:cs="Times New Roman"/>
          <w:color w:val="auto"/>
        </w:rPr>
      </w:pPr>
      <w:r>
        <w:rPr>
          <w:color w:val="auto"/>
        </w:rPr>
        <w:drawing>
          <wp:inline distT="0" distB="0" distL="114300" distR="114300">
            <wp:extent cx="6815455" cy="4787900"/>
            <wp:effectExtent l="0" t="0" r="4445" b="1270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1"/>
                    <a:stretch>
                      <a:fillRect/>
                    </a:stretch>
                  </pic:blipFill>
                  <pic:spPr>
                    <a:xfrm>
                      <a:off x="0" y="0"/>
                      <a:ext cx="6815455" cy="4787900"/>
                    </a:xfrm>
                    <a:prstGeom prst="rect">
                      <a:avLst/>
                    </a:prstGeom>
                    <a:noFill/>
                    <a:ln>
                      <a:noFill/>
                    </a:ln>
                  </pic:spPr>
                </pic:pic>
              </a:graphicData>
            </a:graphic>
          </wp:inline>
        </w:drawing>
      </w:r>
    </w:p>
    <w:p w14:paraId="78D7829F">
      <w:pPr>
        <w:rPr>
          <w:rFonts w:hint="default" w:ascii="Times New Roman" w:hAnsi="Times New Roman" w:eastAsia="宋体" w:cs="Times New Roman"/>
          <w:color w:val="auto"/>
          <w:sz w:val="28"/>
          <w:szCs w:val="28"/>
        </w:rPr>
      </w:pPr>
      <w:bookmarkStart w:id="143" w:name="_Toc17912"/>
      <w:r>
        <w:rPr>
          <w:rFonts w:hint="default" w:ascii="Times New Roman" w:hAnsi="Times New Roman" w:eastAsia="宋体" w:cs="Times New Roman"/>
          <w:color w:val="auto"/>
          <w:sz w:val="28"/>
          <w:szCs w:val="28"/>
        </w:rPr>
        <w:br w:type="page"/>
      </w:r>
    </w:p>
    <w:p w14:paraId="76BE2873">
      <w:pPr>
        <w:numPr>
          <w:ilvl w:val="0"/>
          <w:numId w:val="0"/>
        </w:numPr>
        <w:spacing w:line="360" w:lineRule="auto"/>
        <w:outlineLvl w:val="0"/>
        <w:rPr>
          <w:rFonts w:hint="default" w:ascii="Times New Roman" w:hAnsi="Times New Roman" w:eastAsia="宋体" w:cs="Times New Roman"/>
          <w:color w:val="auto"/>
          <w:sz w:val="28"/>
          <w:szCs w:val="28"/>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377702F">
      <w:pPr>
        <w:numPr>
          <w:ilvl w:val="0"/>
          <w:numId w:val="0"/>
        </w:numPr>
        <w:spacing w:line="360" w:lineRule="auto"/>
        <w:outlineLvl w:val="0"/>
        <w:rPr>
          <w:rFonts w:hint="eastAsia" w:ascii="Times New Roman" w:hAnsi="Times New Roman" w:eastAsia="宋体" w:cs="Times New Roman"/>
          <w:color w:val="auto"/>
          <w:sz w:val="28"/>
          <w:szCs w:val="28"/>
          <w:lang w:eastAsia="zh-CN"/>
        </w:rPr>
      </w:pPr>
      <w:bookmarkStart w:id="144" w:name="_Toc19175"/>
      <w:r>
        <w:rPr>
          <w:rFonts w:hint="default" w:ascii="Times New Roman" w:hAnsi="Times New Roman" w:eastAsia="宋体" w:cs="Times New Roman"/>
          <w:color w:val="auto"/>
          <w:sz w:val="28"/>
          <w:szCs w:val="28"/>
        </w:rPr>
        <w:t>附图</w:t>
      </w:r>
      <w:r>
        <w:rPr>
          <w:rFonts w:hint="eastAsia" w:ascii="Times New Roman" w:hAnsi="Times New Roman" w:cs="Times New Roman"/>
          <w:color w:val="auto"/>
          <w:sz w:val="28"/>
          <w:szCs w:val="28"/>
          <w:lang w:val="en-US" w:eastAsia="zh-CN"/>
        </w:rPr>
        <w:t>2</w:t>
      </w:r>
      <w:r>
        <w:rPr>
          <w:rFonts w:hint="default" w:ascii="Times New Roman" w:hAnsi="Times New Roman" w:eastAsia="宋体" w:cs="Times New Roman"/>
          <w:color w:val="auto"/>
          <w:sz w:val="28"/>
          <w:szCs w:val="28"/>
        </w:rPr>
        <w:t>：</w:t>
      </w:r>
      <w:r>
        <w:rPr>
          <w:rFonts w:hint="eastAsia" w:ascii="Times New Roman" w:hAnsi="Times New Roman" w:cs="Times New Roman"/>
          <w:color w:val="auto"/>
          <w:sz w:val="24"/>
          <w:szCs w:val="24"/>
          <w:highlight w:val="none"/>
          <w:lang w:val="en-US" w:eastAsia="zh-CN"/>
        </w:rPr>
        <w:t>饮用水源保护区划分红线及拐点坐标图</w:t>
      </w:r>
      <w:bookmarkEnd w:id="143"/>
      <w:bookmarkEnd w:id="144"/>
    </w:p>
    <w:p w14:paraId="0C8655D0">
      <w:pPr>
        <w:numPr>
          <w:ilvl w:val="0"/>
          <w:numId w:val="0"/>
        </w:numPr>
        <w:spacing w:line="360" w:lineRule="auto"/>
        <w:jc w:val="center"/>
        <w:rPr>
          <w:rFonts w:hint="eastAsia" w:ascii="Times New Roman" w:hAnsi="Times New Roman" w:eastAsia="宋体" w:cs="Times New Roman"/>
          <w:color w:val="auto"/>
          <w:sz w:val="28"/>
          <w:szCs w:val="28"/>
          <w:lang w:eastAsia="zh-CN"/>
        </w:rPr>
      </w:pPr>
      <w:r>
        <w:rPr>
          <w:color w:val="auto"/>
        </w:rPr>
        <w:drawing>
          <wp:inline distT="0" distB="0" distL="114300" distR="114300">
            <wp:extent cx="7819390" cy="5556885"/>
            <wp:effectExtent l="0" t="0" r="10160" b="5715"/>
            <wp:docPr id="21" name="图片 21" descr="兴平市城区集中饮用水水源地划分调整报告9.8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兴平市城区集中饮用水水源地划分调整报告9.8_页面_1"/>
                    <pic:cNvPicPr>
                      <a:picLocks noChangeAspect="1"/>
                    </pic:cNvPicPr>
                  </pic:nvPicPr>
                  <pic:blipFill>
                    <a:blip r:embed="rId32"/>
                    <a:srcRect l="8393" t="5719" r="8595" b="10866"/>
                    <a:stretch>
                      <a:fillRect/>
                    </a:stretch>
                  </pic:blipFill>
                  <pic:spPr>
                    <a:xfrm>
                      <a:off x="0" y="0"/>
                      <a:ext cx="7819390" cy="5556885"/>
                    </a:xfrm>
                    <a:prstGeom prst="rect">
                      <a:avLst/>
                    </a:prstGeom>
                  </pic:spPr>
                </pic:pic>
              </a:graphicData>
            </a:graphic>
          </wp:inline>
        </w:drawing>
      </w:r>
      <w:r>
        <w:rPr>
          <w:rFonts w:hint="eastAsia" w:ascii="Times New Roman" w:hAnsi="Times New Roman" w:eastAsia="宋体" w:cs="Times New Roman"/>
          <w:color w:val="auto"/>
          <w:sz w:val="28"/>
          <w:szCs w:val="28"/>
          <w:lang w:eastAsia="zh-CN"/>
        </w:rPr>
        <w:drawing>
          <wp:inline distT="0" distB="0" distL="114300" distR="114300">
            <wp:extent cx="7676515" cy="5356860"/>
            <wp:effectExtent l="0" t="0" r="635" b="15240"/>
            <wp:docPr id="22" name="图片 22" descr="兴平市城区集中饮用水水源地划分调整报告9.8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兴平市城区集中饮用水水源地划分调整报告9.8_页面_2"/>
                    <pic:cNvPicPr>
                      <a:picLocks noChangeAspect="1"/>
                    </pic:cNvPicPr>
                  </pic:nvPicPr>
                  <pic:blipFill>
                    <a:blip r:embed="rId33"/>
                    <a:srcRect l="9303" t="7578" r="9202" b="12010"/>
                    <a:stretch>
                      <a:fillRect/>
                    </a:stretch>
                  </pic:blipFill>
                  <pic:spPr>
                    <a:xfrm>
                      <a:off x="0" y="0"/>
                      <a:ext cx="7676515" cy="5356860"/>
                    </a:xfrm>
                    <a:prstGeom prst="rect">
                      <a:avLst/>
                    </a:prstGeom>
                  </pic:spPr>
                </pic:pic>
              </a:graphicData>
            </a:graphic>
          </wp:inline>
        </w:drawing>
      </w:r>
    </w:p>
    <w:p w14:paraId="6CC7DFF8">
      <w:pPr>
        <w:numPr>
          <w:ilvl w:val="0"/>
          <w:numId w:val="0"/>
        </w:numPr>
        <w:spacing w:line="360" w:lineRule="auto"/>
        <w:jc w:val="center"/>
        <w:rPr>
          <w:rFonts w:hint="eastAsia" w:ascii="Times New Roman" w:hAnsi="Times New Roman" w:eastAsia="宋体" w:cs="Times New Roman"/>
          <w:color w:val="auto"/>
          <w:sz w:val="28"/>
          <w:szCs w:val="28"/>
          <w:lang w:eastAsia="zh-CN"/>
        </w:rPr>
      </w:pPr>
    </w:p>
    <w:p w14:paraId="4022A3A1">
      <w:pPr>
        <w:rPr>
          <w:rFonts w:hint="default" w:ascii="Times New Roman" w:hAnsi="Times New Roman" w:cs="Times New Roman"/>
          <w:color w:val="auto"/>
          <w:lang w:val="en-US"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4147185</wp:posOffset>
                </wp:positionH>
                <wp:positionV relativeFrom="paragraph">
                  <wp:posOffset>2435860</wp:posOffset>
                </wp:positionV>
                <wp:extent cx="428625" cy="361950"/>
                <wp:effectExtent l="0" t="0" r="0" b="0"/>
                <wp:wrapNone/>
                <wp:docPr id="26" name="文本框 26"/>
                <wp:cNvGraphicFramePr/>
                <a:graphic xmlns:a="http://schemas.openxmlformats.org/drawingml/2006/main">
                  <a:graphicData uri="http://schemas.microsoft.com/office/word/2010/wordprocessingShape">
                    <wps:wsp>
                      <wps:cNvSpPr txBox="1"/>
                      <wps:spPr>
                        <a:xfrm>
                          <a:off x="5118735" y="3034665"/>
                          <a:ext cx="42862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D7A43">
                            <w:pPr>
                              <w:rPr>
                                <w:rFonts w:hint="default" w:ascii="Times New Roman" w:hAnsi="Times New Roman" w:eastAsia="宋体" w:cs="Times New Roman"/>
                                <w:color w:val="FFFF00"/>
                                <w:sz w:val="21"/>
                                <w:szCs w:val="21"/>
                                <w:lang w:val="en-US" w:eastAsia="zh-CN"/>
                              </w:rPr>
                            </w:pPr>
                            <w:r>
                              <w:rPr>
                                <w:rFonts w:hint="default" w:ascii="Times New Roman" w:hAnsi="Times New Roman" w:cs="Times New Roman"/>
                                <w:color w:val="FFFF00"/>
                                <w:sz w:val="21"/>
                                <w:szCs w:val="21"/>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55pt;margin-top:191.8pt;height:28.5pt;width:33.75pt;z-index:251662336;mso-width-relative:page;mso-height-relative:page;" filled="f" stroked="f" coordsize="21600,21600" o:gfxdata="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RRDf9sAAAALAQAADwAAAAAA&#10;AAABACAAAAAiAAAAZHJzL2Rvd25yZXYueG1sUEsBAhQAFAAAAAgAh07iQA6I5h1JAgAAcwQAAA4A&#10;AAAAAAAAAQAgAAAAKgEAAGRycy9lMm9Eb2MueG1sUEsFBgAAAAAGAAYAWQEAAOUFAAAAAA==&#10;">
                <v:fill on="f" focussize="0,0"/>
                <v:stroke on="f" weight="0.5pt"/>
                <v:imagedata o:title=""/>
                <o:lock v:ext="edit" aspectratio="f"/>
                <v:textbox>
                  <w:txbxContent>
                    <w:p w14:paraId="1A8D7A43">
                      <w:pPr>
                        <w:rPr>
                          <w:rFonts w:hint="default" w:ascii="Times New Roman" w:hAnsi="Times New Roman" w:eastAsia="宋体" w:cs="Times New Roman"/>
                          <w:color w:val="FFFF00"/>
                          <w:sz w:val="21"/>
                          <w:szCs w:val="21"/>
                          <w:lang w:val="en-US" w:eastAsia="zh-CN"/>
                        </w:rPr>
                      </w:pPr>
                      <w:r>
                        <w:rPr>
                          <w:rFonts w:hint="default" w:ascii="Times New Roman" w:hAnsi="Times New Roman" w:cs="Times New Roman"/>
                          <w:color w:val="FFFF00"/>
                          <w:sz w:val="21"/>
                          <w:szCs w:val="21"/>
                          <w:lang w:val="en-US" w:eastAsia="zh-CN"/>
                        </w:rPr>
                        <w:t>4#</w:t>
                      </w:r>
                    </w:p>
                  </w:txbxContent>
                </v:textbox>
              </v:shape>
            </w:pict>
          </mc:Fallback>
        </mc:AlternateContent>
      </w:r>
    </w:p>
    <w:sectPr>
      <w:pgSz w:w="16838" w:h="11906" w:orient="landscape"/>
      <w:pgMar w:top="763" w:right="1440" w:bottom="84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swiss"/>
    <w:pitch w:val="default"/>
    <w:sig w:usb0="800002BF" w:usb1="38CF7CFA" w:usb2="00000016" w:usb3="00000000" w:csb0="00040001" w:csb1="00000000"/>
  </w:font>
  <w:font w:name="TimesNewRomanPSMT">
    <w:altName w:val="Times New Roman"/>
    <w:panose1 w:val="00000000000000000000"/>
    <w:charset w:val="80"/>
    <w:family w:val="auto"/>
    <w:pitch w:val="default"/>
    <w:sig w:usb0="00000000" w:usb1="00000000" w:usb2="00000000" w:usb3="00000000" w:csb0="0002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42876">
    <w:pPr>
      <w:pStyle w:val="15"/>
      <w:framePr w:wrap="around" w:vAnchor="text" w:hAnchor="margin" w:xAlign="center" w:y="1"/>
      <w:rPr>
        <w:rStyle w:val="22"/>
      </w:rPr>
    </w:pPr>
    <w:r>
      <w:fldChar w:fldCharType="begin"/>
    </w:r>
    <w:r>
      <w:rPr>
        <w:rStyle w:val="22"/>
      </w:rPr>
      <w:instrText xml:space="preserve">PAGE  </w:instrText>
    </w:r>
    <w:r>
      <w:fldChar w:fldCharType="end"/>
    </w:r>
  </w:p>
  <w:p w14:paraId="3B2E3E64">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F310A">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12AC9">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B3C84">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62BB3C84">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214C3">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62BD7">
                          <w:pPr>
                            <w:pStyle w:val="15"/>
                            <w:rPr>
                              <w:rStyle w:val="22"/>
                            </w:rPr>
                          </w:pPr>
                          <w:r>
                            <w:fldChar w:fldCharType="begin"/>
                          </w:r>
                          <w:r>
                            <w:rPr>
                              <w:rStyle w:val="22"/>
                            </w:rPr>
                            <w:instrText xml:space="preserve">PAGE  </w:instrText>
                          </w:r>
                          <w:r>
                            <w:fldChar w:fldCharType="separate"/>
                          </w:r>
                          <w:r>
                            <w:rPr>
                              <w:rStyle w:val="22"/>
                            </w:rP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D462BD7">
                    <w:pPr>
                      <w:pStyle w:val="15"/>
                      <w:rPr>
                        <w:rStyle w:val="22"/>
                      </w:rPr>
                    </w:pPr>
                    <w:r>
                      <w:fldChar w:fldCharType="begin"/>
                    </w:r>
                    <w:r>
                      <w:rPr>
                        <w:rStyle w:val="22"/>
                      </w:rPr>
                      <w:instrText xml:space="preserve">PAGE  </w:instrText>
                    </w:r>
                    <w:r>
                      <w:fldChar w:fldCharType="separate"/>
                    </w:r>
                    <w:r>
                      <w:rPr>
                        <w:rStyle w:val="22"/>
                      </w:rPr>
                      <w:t>22</w:t>
                    </w:r>
                    <w:r>
                      <w:fldChar w:fldCharType="end"/>
                    </w:r>
                  </w:p>
                </w:txbxContent>
              </v:textbox>
            </v:shape>
          </w:pict>
        </mc:Fallback>
      </mc:AlternateContent>
    </w:r>
  </w:p>
  <w:p w14:paraId="58C5A711">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90872">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8B6C2">
                          <w:pPr>
                            <w:pStyle w:val="15"/>
                            <w:rPr>
                              <w:rStyle w:val="22"/>
                            </w:rPr>
                          </w:pPr>
                          <w:r>
                            <w:fldChar w:fldCharType="begin"/>
                          </w:r>
                          <w:r>
                            <w:rPr>
                              <w:rStyle w:val="22"/>
                            </w:rPr>
                            <w:instrText xml:space="preserve">PAGE  </w:instrText>
                          </w:r>
                          <w:r>
                            <w:fldChar w:fldCharType="separate"/>
                          </w:r>
                          <w:r>
                            <w:rPr>
                              <w:rStyle w:val="22"/>
                            </w:rP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A88B6C2">
                    <w:pPr>
                      <w:pStyle w:val="15"/>
                      <w:rPr>
                        <w:rStyle w:val="22"/>
                      </w:rPr>
                    </w:pPr>
                    <w:r>
                      <w:fldChar w:fldCharType="begin"/>
                    </w:r>
                    <w:r>
                      <w:rPr>
                        <w:rStyle w:val="22"/>
                      </w:rPr>
                      <w:instrText xml:space="preserve">PAGE  </w:instrText>
                    </w:r>
                    <w:r>
                      <w:fldChar w:fldCharType="separate"/>
                    </w:r>
                    <w:r>
                      <w:rPr>
                        <w:rStyle w:val="22"/>
                      </w:rPr>
                      <w:t>22</w:t>
                    </w:r>
                    <w:r>
                      <w:fldChar w:fldCharType="end"/>
                    </w:r>
                  </w:p>
                </w:txbxContent>
              </v:textbox>
            </v:shape>
          </w:pict>
        </mc:Fallback>
      </mc:AlternateContent>
    </w:r>
  </w:p>
  <w:p w14:paraId="09CF75E3">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6BD100"/>
    <w:multiLevelType w:val="singleLevel"/>
    <w:tmpl w:val="9A6BD100"/>
    <w:lvl w:ilvl="0" w:tentative="0">
      <w:start w:val="2"/>
      <w:numFmt w:val="decimal"/>
      <w:lvlText w:val="%1."/>
      <w:lvlJc w:val="left"/>
      <w:pPr>
        <w:tabs>
          <w:tab w:val="left" w:pos="312"/>
        </w:tabs>
      </w:pPr>
    </w:lvl>
  </w:abstractNum>
  <w:abstractNum w:abstractNumId="1">
    <w:nsid w:val="FEE92E6E"/>
    <w:multiLevelType w:val="singleLevel"/>
    <w:tmpl w:val="FEE92E6E"/>
    <w:lvl w:ilvl="0" w:tentative="0">
      <w:start w:val="1"/>
      <w:numFmt w:val="chineseCounting"/>
      <w:suff w:val="nothing"/>
      <w:lvlText w:val="%1、"/>
      <w:lvlJc w:val="left"/>
      <w:rPr>
        <w:rFonts w:hint="eastAsia"/>
      </w:rPr>
    </w:lvl>
  </w:abstractNum>
  <w:abstractNum w:abstractNumId="2">
    <w:nsid w:val="0CD12D1F"/>
    <w:multiLevelType w:val="singleLevel"/>
    <w:tmpl w:val="0CD12D1F"/>
    <w:lvl w:ilvl="0" w:tentative="0">
      <w:start w:val="1"/>
      <w:numFmt w:val="decimal"/>
      <w:suff w:val="nothing"/>
      <w:lvlText w:val="（%1）"/>
      <w:lvlJc w:val="left"/>
    </w:lvl>
  </w:abstractNum>
  <w:abstractNum w:abstractNumId="3">
    <w:nsid w:val="3C1960D1"/>
    <w:multiLevelType w:val="singleLevel"/>
    <w:tmpl w:val="3C1960D1"/>
    <w:lvl w:ilvl="0" w:tentative="0">
      <w:start w:val="2"/>
      <w:numFmt w:val="decimal"/>
      <w:suff w:val="nothing"/>
      <w:lvlText w:val="（%1）"/>
      <w:lvlJc w:val="left"/>
    </w:lvl>
  </w:abstractNum>
  <w:abstractNum w:abstractNumId="4">
    <w:nsid w:val="3DC98A8B"/>
    <w:multiLevelType w:val="singleLevel"/>
    <w:tmpl w:val="3DC98A8B"/>
    <w:lvl w:ilvl="0" w:tentative="0">
      <w:start w:val="1"/>
      <w:numFmt w:val="decimal"/>
      <w:suff w:val="nothing"/>
      <w:lvlText w:val="（%1）"/>
      <w:lvlJc w:val="left"/>
    </w:lvl>
  </w:abstractNum>
  <w:abstractNum w:abstractNumId="5">
    <w:nsid w:val="5145DC6E"/>
    <w:multiLevelType w:val="singleLevel"/>
    <w:tmpl w:val="5145DC6E"/>
    <w:lvl w:ilvl="0" w:tentative="0">
      <w:start w:val="2"/>
      <w:numFmt w:val="chineseCounting"/>
      <w:suff w:val="nothing"/>
      <w:lvlText w:val="（%1）"/>
      <w:lvlJc w:val="left"/>
      <w:rPr>
        <w:rFonts w:hint="eastAsia"/>
      </w:rPr>
    </w:lvl>
  </w:abstractNum>
  <w:abstractNum w:abstractNumId="6">
    <w:nsid w:val="602FDD42"/>
    <w:multiLevelType w:val="singleLevel"/>
    <w:tmpl w:val="602FDD42"/>
    <w:lvl w:ilvl="0" w:tentative="0">
      <w:start w:val="4"/>
      <w:numFmt w:val="chineseCounting"/>
      <w:suff w:val="nothing"/>
      <w:lvlText w:val="%1、"/>
      <w:lvlJc w:val="left"/>
      <w:rPr>
        <w:rFonts w:hint="eastAsia"/>
      </w:rPr>
    </w:lvl>
  </w:abstractNum>
  <w:abstractNum w:abstractNumId="7">
    <w:nsid w:val="7C249C57"/>
    <w:multiLevelType w:val="singleLevel"/>
    <w:tmpl w:val="7C249C57"/>
    <w:lvl w:ilvl="0" w:tentative="0">
      <w:start w:val="1"/>
      <w:numFmt w:val="lowerLetter"/>
      <w:suff w:val="nothing"/>
      <w:lvlText w:val="%1）"/>
      <w:lvlJc w:val="left"/>
    </w:lvl>
  </w:abstractNum>
  <w:num w:numId="1">
    <w:abstractNumId w:val="6"/>
  </w:num>
  <w:num w:numId="2">
    <w:abstractNumId w:val="5"/>
  </w:num>
  <w:num w:numId="3">
    <w:abstractNumId w:val="0"/>
  </w:num>
  <w:num w:numId="4">
    <w:abstractNumId w:val="3"/>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5NzdmMGQ0NTQ5MzdiNTNlYWE5ZmI4NjQ5MjY2YzEifQ=="/>
  </w:docVars>
  <w:rsids>
    <w:rsidRoot w:val="00172A27"/>
    <w:rsid w:val="00654987"/>
    <w:rsid w:val="00CE56A1"/>
    <w:rsid w:val="00E440AE"/>
    <w:rsid w:val="01BD76F7"/>
    <w:rsid w:val="020B2A46"/>
    <w:rsid w:val="0228314F"/>
    <w:rsid w:val="0260116C"/>
    <w:rsid w:val="02895219"/>
    <w:rsid w:val="02D44D7D"/>
    <w:rsid w:val="02ED1C85"/>
    <w:rsid w:val="02F93B51"/>
    <w:rsid w:val="0356254D"/>
    <w:rsid w:val="045F1B54"/>
    <w:rsid w:val="048243AE"/>
    <w:rsid w:val="04AA023B"/>
    <w:rsid w:val="04CE0855"/>
    <w:rsid w:val="057306A4"/>
    <w:rsid w:val="0595780D"/>
    <w:rsid w:val="05AB1DE6"/>
    <w:rsid w:val="05B96146"/>
    <w:rsid w:val="05FB6A88"/>
    <w:rsid w:val="06A32EE5"/>
    <w:rsid w:val="06AD6C61"/>
    <w:rsid w:val="06BE3EBD"/>
    <w:rsid w:val="06F617A5"/>
    <w:rsid w:val="07B02FAC"/>
    <w:rsid w:val="07DE26F9"/>
    <w:rsid w:val="080A15BF"/>
    <w:rsid w:val="08F128D1"/>
    <w:rsid w:val="094E25C3"/>
    <w:rsid w:val="09D33DB1"/>
    <w:rsid w:val="0AFC6725"/>
    <w:rsid w:val="0C9340A5"/>
    <w:rsid w:val="0C991C27"/>
    <w:rsid w:val="0CFA5493"/>
    <w:rsid w:val="0DE0648F"/>
    <w:rsid w:val="0DEA4E38"/>
    <w:rsid w:val="0EFA7C5A"/>
    <w:rsid w:val="0F985657"/>
    <w:rsid w:val="0FB678C2"/>
    <w:rsid w:val="0FDF6EC4"/>
    <w:rsid w:val="0FF86277"/>
    <w:rsid w:val="10281A7D"/>
    <w:rsid w:val="103B269A"/>
    <w:rsid w:val="113D609A"/>
    <w:rsid w:val="115E55B2"/>
    <w:rsid w:val="11B00B31"/>
    <w:rsid w:val="12D176D6"/>
    <w:rsid w:val="132202AF"/>
    <w:rsid w:val="13293994"/>
    <w:rsid w:val="136D2BF2"/>
    <w:rsid w:val="13E10E2F"/>
    <w:rsid w:val="147246C9"/>
    <w:rsid w:val="14B06C3F"/>
    <w:rsid w:val="15730DC8"/>
    <w:rsid w:val="15883891"/>
    <w:rsid w:val="16044169"/>
    <w:rsid w:val="16104199"/>
    <w:rsid w:val="164D2065"/>
    <w:rsid w:val="16AB3CED"/>
    <w:rsid w:val="1700277C"/>
    <w:rsid w:val="17264A2F"/>
    <w:rsid w:val="17366AB9"/>
    <w:rsid w:val="173A75BF"/>
    <w:rsid w:val="176A78D9"/>
    <w:rsid w:val="17FE7FEB"/>
    <w:rsid w:val="18106EF0"/>
    <w:rsid w:val="18E62C69"/>
    <w:rsid w:val="19151ADB"/>
    <w:rsid w:val="194A708A"/>
    <w:rsid w:val="197574FD"/>
    <w:rsid w:val="198A14D0"/>
    <w:rsid w:val="198C3937"/>
    <w:rsid w:val="19B34B79"/>
    <w:rsid w:val="1A24062C"/>
    <w:rsid w:val="1AA3057F"/>
    <w:rsid w:val="1AC10EEF"/>
    <w:rsid w:val="1ADB08FF"/>
    <w:rsid w:val="1ADD3BB0"/>
    <w:rsid w:val="1ADE2CAA"/>
    <w:rsid w:val="1B685B91"/>
    <w:rsid w:val="1B920155"/>
    <w:rsid w:val="1BEF4271"/>
    <w:rsid w:val="1C6352EC"/>
    <w:rsid w:val="1C9923C8"/>
    <w:rsid w:val="1CB83C57"/>
    <w:rsid w:val="1CBF4223"/>
    <w:rsid w:val="1CD808BE"/>
    <w:rsid w:val="1DD45C4C"/>
    <w:rsid w:val="1F1919C5"/>
    <w:rsid w:val="1FA23A8F"/>
    <w:rsid w:val="1FE5677E"/>
    <w:rsid w:val="20874ECA"/>
    <w:rsid w:val="20C83323"/>
    <w:rsid w:val="20FC7982"/>
    <w:rsid w:val="21164090"/>
    <w:rsid w:val="211969FC"/>
    <w:rsid w:val="211A7BDF"/>
    <w:rsid w:val="219669A5"/>
    <w:rsid w:val="21AD09C0"/>
    <w:rsid w:val="23646EFA"/>
    <w:rsid w:val="23A81BB6"/>
    <w:rsid w:val="23CA744F"/>
    <w:rsid w:val="23E765D2"/>
    <w:rsid w:val="24163B0D"/>
    <w:rsid w:val="2422388F"/>
    <w:rsid w:val="24A50FD7"/>
    <w:rsid w:val="24A77534"/>
    <w:rsid w:val="24AE5460"/>
    <w:rsid w:val="24BF4EBF"/>
    <w:rsid w:val="256A59FA"/>
    <w:rsid w:val="26080BB0"/>
    <w:rsid w:val="260F2833"/>
    <w:rsid w:val="265372EE"/>
    <w:rsid w:val="26F341BA"/>
    <w:rsid w:val="27295448"/>
    <w:rsid w:val="27607549"/>
    <w:rsid w:val="286127FC"/>
    <w:rsid w:val="286C1C31"/>
    <w:rsid w:val="288E379A"/>
    <w:rsid w:val="28B900A5"/>
    <w:rsid w:val="296D239F"/>
    <w:rsid w:val="299153A2"/>
    <w:rsid w:val="29B244C0"/>
    <w:rsid w:val="29E5305A"/>
    <w:rsid w:val="29E70DA5"/>
    <w:rsid w:val="2A080780"/>
    <w:rsid w:val="2A2B73C5"/>
    <w:rsid w:val="2A4230EF"/>
    <w:rsid w:val="2B164883"/>
    <w:rsid w:val="2B6C36A8"/>
    <w:rsid w:val="2BC82075"/>
    <w:rsid w:val="2BD10CC9"/>
    <w:rsid w:val="2C362D03"/>
    <w:rsid w:val="2CEE1509"/>
    <w:rsid w:val="2D252FAE"/>
    <w:rsid w:val="2D2D4193"/>
    <w:rsid w:val="2D5D045F"/>
    <w:rsid w:val="2DD14187"/>
    <w:rsid w:val="2E3B04FF"/>
    <w:rsid w:val="2E4004CA"/>
    <w:rsid w:val="2EB25B7E"/>
    <w:rsid w:val="2EDA6651"/>
    <w:rsid w:val="30AF1738"/>
    <w:rsid w:val="30C206BD"/>
    <w:rsid w:val="33373E0E"/>
    <w:rsid w:val="34523DCE"/>
    <w:rsid w:val="354C3AB9"/>
    <w:rsid w:val="35A80AE2"/>
    <w:rsid w:val="36620A59"/>
    <w:rsid w:val="36CE33C4"/>
    <w:rsid w:val="377179D3"/>
    <w:rsid w:val="377A01D4"/>
    <w:rsid w:val="387C3A87"/>
    <w:rsid w:val="39002F25"/>
    <w:rsid w:val="391F5D51"/>
    <w:rsid w:val="395253FF"/>
    <w:rsid w:val="398A1733"/>
    <w:rsid w:val="39946701"/>
    <w:rsid w:val="3AF655AB"/>
    <w:rsid w:val="3B3460FD"/>
    <w:rsid w:val="3B9972D5"/>
    <w:rsid w:val="3CAB6638"/>
    <w:rsid w:val="3D265C63"/>
    <w:rsid w:val="3D900842"/>
    <w:rsid w:val="3E6E0021"/>
    <w:rsid w:val="3F0C325E"/>
    <w:rsid w:val="3F4E4B99"/>
    <w:rsid w:val="3F7470B1"/>
    <w:rsid w:val="3F98592A"/>
    <w:rsid w:val="3FA46D88"/>
    <w:rsid w:val="3FED20AB"/>
    <w:rsid w:val="4037761F"/>
    <w:rsid w:val="403D062D"/>
    <w:rsid w:val="40533EC5"/>
    <w:rsid w:val="40C35589"/>
    <w:rsid w:val="40CE5FCD"/>
    <w:rsid w:val="41675153"/>
    <w:rsid w:val="416F31A1"/>
    <w:rsid w:val="417F2F7C"/>
    <w:rsid w:val="42F379DD"/>
    <w:rsid w:val="433D36F1"/>
    <w:rsid w:val="43A217F5"/>
    <w:rsid w:val="43BF04E9"/>
    <w:rsid w:val="43DF6396"/>
    <w:rsid w:val="441B3BBD"/>
    <w:rsid w:val="4427638D"/>
    <w:rsid w:val="442D1A80"/>
    <w:rsid w:val="44372217"/>
    <w:rsid w:val="4486396F"/>
    <w:rsid w:val="448845C5"/>
    <w:rsid w:val="451E5724"/>
    <w:rsid w:val="4540243C"/>
    <w:rsid w:val="457C1B3F"/>
    <w:rsid w:val="45BB5F90"/>
    <w:rsid w:val="45C7349D"/>
    <w:rsid w:val="45E72AA8"/>
    <w:rsid w:val="46027B9A"/>
    <w:rsid w:val="460B0BAD"/>
    <w:rsid w:val="46857909"/>
    <w:rsid w:val="46B00011"/>
    <w:rsid w:val="46E11B56"/>
    <w:rsid w:val="46E46A55"/>
    <w:rsid w:val="47304154"/>
    <w:rsid w:val="47AE3971"/>
    <w:rsid w:val="4845748D"/>
    <w:rsid w:val="498523E7"/>
    <w:rsid w:val="499C1E04"/>
    <w:rsid w:val="49B31759"/>
    <w:rsid w:val="49B3314B"/>
    <w:rsid w:val="4A304448"/>
    <w:rsid w:val="4B2954D3"/>
    <w:rsid w:val="4BA6010E"/>
    <w:rsid w:val="4C323627"/>
    <w:rsid w:val="4C67732C"/>
    <w:rsid w:val="4C765BE7"/>
    <w:rsid w:val="4CAC3F40"/>
    <w:rsid w:val="4D2F6D0D"/>
    <w:rsid w:val="4D6F3295"/>
    <w:rsid w:val="4DAD6413"/>
    <w:rsid w:val="4E8120AD"/>
    <w:rsid w:val="4E8E585B"/>
    <w:rsid w:val="4EEC4E00"/>
    <w:rsid w:val="4F2F3C5B"/>
    <w:rsid w:val="4F8F6D79"/>
    <w:rsid w:val="4FAF5C14"/>
    <w:rsid w:val="50E97216"/>
    <w:rsid w:val="518267A7"/>
    <w:rsid w:val="51E11AAC"/>
    <w:rsid w:val="520021F5"/>
    <w:rsid w:val="523805D7"/>
    <w:rsid w:val="524161D0"/>
    <w:rsid w:val="52606436"/>
    <w:rsid w:val="52633488"/>
    <w:rsid w:val="52A170B3"/>
    <w:rsid w:val="52B52461"/>
    <w:rsid w:val="52E23EE4"/>
    <w:rsid w:val="546308A6"/>
    <w:rsid w:val="547108DA"/>
    <w:rsid w:val="54C978E0"/>
    <w:rsid w:val="55712713"/>
    <w:rsid w:val="55A27885"/>
    <w:rsid w:val="55D327FA"/>
    <w:rsid w:val="55E37DE2"/>
    <w:rsid w:val="56F526B5"/>
    <w:rsid w:val="57495C2E"/>
    <w:rsid w:val="57634D85"/>
    <w:rsid w:val="57A34B86"/>
    <w:rsid w:val="5807650D"/>
    <w:rsid w:val="586E2757"/>
    <w:rsid w:val="58C76092"/>
    <w:rsid w:val="5916368B"/>
    <w:rsid w:val="5A286477"/>
    <w:rsid w:val="5A9431ED"/>
    <w:rsid w:val="5A9542DE"/>
    <w:rsid w:val="5B877E24"/>
    <w:rsid w:val="5BEB68AA"/>
    <w:rsid w:val="5C32294E"/>
    <w:rsid w:val="5C746258"/>
    <w:rsid w:val="5CA65F5B"/>
    <w:rsid w:val="5DC02EF5"/>
    <w:rsid w:val="5DF82723"/>
    <w:rsid w:val="5E445C00"/>
    <w:rsid w:val="5E934F6D"/>
    <w:rsid w:val="5EE51D55"/>
    <w:rsid w:val="60030A82"/>
    <w:rsid w:val="60743F02"/>
    <w:rsid w:val="6121612F"/>
    <w:rsid w:val="61894E8D"/>
    <w:rsid w:val="618F7D99"/>
    <w:rsid w:val="61BA7B75"/>
    <w:rsid w:val="61E26417"/>
    <w:rsid w:val="63273510"/>
    <w:rsid w:val="63B66AB2"/>
    <w:rsid w:val="63FD7FC7"/>
    <w:rsid w:val="64121BBA"/>
    <w:rsid w:val="651B3801"/>
    <w:rsid w:val="65680F06"/>
    <w:rsid w:val="6590303D"/>
    <w:rsid w:val="65A66E55"/>
    <w:rsid w:val="664A4F0C"/>
    <w:rsid w:val="66580D17"/>
    <w:rsid w:val="6671507D"/>
    <w:rsid w:val="66767904"/>
    <w:rsid w:val="674C267C"/>
    <w:rsid w:val="67574B37"/>
    <w:rsid w:val="68186916"/>
    <w:rsid w:val="68AC7514"/>
    <w:rsid w:val="699B58F6"/>
    <w:rsid w:val="69C053DA"/>
    <w:rsid w:val="69C74F35"/>
    <w:rsid w:val="6A3E683D"/>
    <w:rsid w:val="6A521FE6"/>
    <w:rsid w:val="6A7C4CD1"/>
    <w:rsid w:val="6A9D0217"/>
    <w:rsid w:val="6AC046D2"/>
    <w:rsid w:val="6B371C2A"/>
    <w:rsid w:val="6B5545E5"/>
    <w:rsid w:val="6C987390"/>
    <w:rsid w:val="6CB6256E"/>
    <w:rsid w:val="6CD47F2F"/>
    <w:rsid w:val="6D5E0367"/>
    <w:rsid w:val="6D7B07F6"/>
    <w:rsid w:val="6DE473FB"/>
    <w:rsid w:val="6E0D543A"/>
    <w:rsid w:val="6E222840"/>
    <w:rsid w:val="6EB255E5"/>
    <w:rsid w:val="6F192108"/>
    <w:rsid w:val="6F2674C3"/>
    <w:rsid w:val="6F5636B6"/>
    <w:rsid w:val="6F692C75"/>
    <w:rsid w:val="6FC50073"/>
    <w:rsid w:val="7069331B"/>
    <w:rsid w:val="70C177E3"/>
    <w:rsid w:val="71360E13"/>
    <w:rsid w:val="71654EBB"/>
    <w:rsid w:val="71824CB2"/>
    <w:rsid w:val="71BD6E1B"/>
    <w:rsid w:val="7221560F"/>
    <w:rsid w:val="723A0AE5"/>
    <w:rsid w:val="72B378DF"/>
    <w:rsid w:val="72EF1BEE"/>
    <w:rsid w:val="738B605A"/>
    <w:rsid w:val="755622E5"/>
    <w:rsid w:val="75806453"/>
    <w:rsid w:val="76BF3775"/>
    <w:rsid w:val="76C00039"/>
    <w:rsid w:val="778247B8"/>
    <w:rsid w:val="781338A5"/>
    <w:rsid w:val="78445D62"/>
    <w:rsid w:val="78580054"/>
    <w:rsid w:val="790A54BB"/>
    <w:rsid w:val="791A494C"/>
    <w:rsid w:val="797E2C8E"/>
    <w:rsid w:val="7A2643CF"/>
    <w:rsid w:val="7A455D5E"/>
    <w:rsid w:val="7A5453CD"/>
    <w:rsid w:val="7AB91105"/>
    <w:rsid w:val="7AD66993"/>
    <w:rsid w:val="7C201822"/>
    <w:rsid w:val="7C4B132D"/>
    <w:rsid w:val="7C716464"/>
    <w:rsid w:val="7C787E21"/>
    <w:rsid w:val="7CBB6648"/>
    <w:rsid w:val="7CC573DB"/>
    <w:rsid w:val="7CD80358"/>
    <w:rsid w:val="7DD4251D"/>
    <w:rsid w:val="7E0E3355"/>
    <w:rsid w:val="7E137627"/>
    <w:rsid w:val="7E4F7B25"/>
    <w:rsid w:val="7E66591E"/>
    <w:rsid w:val="7EAA65CE"/>
    <w:rsid w:val="7F1772CE"/>
    <w:rsid w:val="7F406FA6"/>
    <w:rsid w:val="7F4C5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b/>
      <w:bCs/>
      <w:kern w:val="44"/>
      <w:sz w:val="36"/>
      <w:szCs w:val="44"/>
    </w:rPr>
  </w:style>
  <w:style w:type="paragraph" w:styleId="3">
    <w:name w:val="heading 2"/>
    <w:basedOn w:val="1"/>
    <w:next w:val="1"/>
    <w:link w:val="27"/>
    <w:qFormat/>
    <w:uiPriority w:val="0"/>
    <w:pPr>
      <w:widowControl/>
      <w:adjustRightInd w:val="0"/>
      <w:snapToGrid w:val="0"/>
      <w:jc w:val="center"/>
      <w:outlineLvl w:val="1"/>
    </w:pPr>
    <w:rPr>
      <w:rFonts w:ascii="宋体" w:hAnsi="宋体" w:cs="宋体"/>
      <w:b/>
      <w:bCs/>
      <w:kern w:val="0"/>
      <w:sz w:val="32"/>
      <w:szCs w:val="36"/>
    </w:rPr>
  </w:style>
  <w:style w:type="paragraph" w:styleId="4">
    <w:name w:val="heading 3"/>
    <w:basedOn w:val="1"/>
    <w:next w:val="1"/>
    <w:link w:val="28"/>
    <w:qFormat/>
    <w:uiPriority w:val="0"/>
    <w:pPr>
      <w:keepNext/>
      <w:keepLines/>
      <w:spacing w:before="260" w:after="260" w:line="360" w:lineRule="auto"/>
      <w:outlineLvl w:val="2"/>
    </w:pPr>
    <w:rPr>
      <w:rFonts w:ascii="Times New Roman" w:hAnsi="Times New Roman"/>
      <w:b/>
      <w:bCs/>
      <w:sz w:val="30"/>
      <w:szCs w:val="32"/>
    </w:rPr>
  </w:style>
  <w:style w:type="paragraph" w:styleId="5">
    <w:name w:val="heading 4"/>
    <w:basedOn w:val="1"/>
    <w:next w:val="1"/>
    <w:qFormat/>
    <w:uiPriority w:val="0"/>
    <w:pPr>
      <w:keepNext/>
      <w:keepLines/>
      <w:spacing w:before="240" w:after="240" w:line="360" w:lineRule="auto"/>
      <w:outlineLvl w:val="3"/>
    </w:pPr>
    <w:rPr>
      <w:rFonts w:ascii="Cambria" w:hAnsi="Cambria"/>
      <w:b/>
      <w:bCs/>
      <w:sz w:val="28"/>
      <w:szCs w:val="28"/>
    </w:rPr>
  </w:style>
  <w:style w:type="character" w:default="1" w:styleId="21">
    <w:name w:val="Default Paragraph Font"/>
    <w:autoRedefine/>
    <w:semiHidden/>
    <w:qFormat/>
    <w:uiPriority w:val="0"/>
  </w:style>
  <w:style w:type="table" w:default="1" w:styleId="19">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rPr>
      <w:szCs w:val="20"/>
    </w:rPr>
  </w:style>
  <w:style w:type="paragraph" w:styleId="7">
    <w:name w:val="caption"/>
    <w:basedOn w:val="1"/>
    <w:next w:val="1"/>
    <w:autoRedefine/>
    <w:qFormat/>
    <w:uiPriority w:val="35"/>
    <w:rPr>
      <w:rFonts w:ascii="Calibri Light" w:hAnsi="Calibri Light" w:eastAsia="黑体" w:cs="Times New Roman"/>
      <w:sz w:val="20"/>
      <w:szCs w:val="20"/>
    </w:rPr>
  </w:style>
  <w:style w:type="paragraph" w:styleId="8">
    <w:name w:val="annotation text"/>
    <w:basedOn w:val="1"/>
    <w:autoRedefine/>
    <w:qFormat/>
    <w:uiPriority w:val="0"/>
    <w:pPr>
      <w:jc w:val="left"/>
    </w:pPr>
  </w:style>
  <w:style w:type="paragraph" w:styleId="9">
    <w:name w:val="Body Text"/>
    <w:basedOn w:val="1"/>
    <w:next w:val="1"/>
    <w:autoRedefine/>
    <w:unhideWhenUsed/>
    <w:qFormat/>
    <w:uiPriority w:val="99"/>
    <w:pPr>
      <w:spacing w:after="120"/>
    </w:pPr>
  </w:style>
  <w:style w:type="paragraph" w:styleId="10">
    <w:name w:val="Body Text Indent"/>
    <w:basedOn w:val="1"/>
    <w:next w:val="11"/>
    <w:autoRedefine/>
    <w:qFormat/>
    <w:uiPriority w:val="0"/>
    <w:pPr>
      <w:ind w:firstLine="560" w:firstLineChars="200"/>
    </w:pPr>
    <w:rPr>
      <w:sz w:val="28"/>
    </w:rPr>
  </w:style>
  <w:style w:type="paragraph" w:styleId="11">
    <w:name w:val="header"/>
    <w:basedOn w:val="1"/>
    <w:next w:val="12"/>
    <w:autoRedefine/>
    <w:qFormat/>
    <w:uiPriority w:val="99"/>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qFormat/>
    <w:uiPriority w:val="0"/>
    <w:pPr>
      <w:snapToGrid w:val="0"/>
      <w:spacing w:line="360" w:lineRule="auto"/>
      <w:ind w:firstLine="510"/>
    </w:pPr>
  </w:style>
  <w:style w:type="paragraph" w:customStyle="1" w:styleId="13">
    <w:name w:val="样式3"/>
    <w:basedOn w:val="1"/>
    <w:next w:val="9"/>
    <w:autoRedefine/>
    <w:qFormat/>
    <w:uiPriority w:val="0"/>
    <w:pPr>
      <w:snapToGrid w:val="0"/>
      <w:ind w:firstLine="539"/>
      <w:jc w:val="center"/>
    </w:pPr>
    <w:rPr>
      <w:rFonts w:ascii="黑体" w:hAnsi="宋体" w:eastAsia="黑体"/>
      <w:color w:val="000000"/>
      <w:kern w:val="0"/>
    </w:rPr>
  </w:style>
  <w:style w:type="paragraph" w:styleId="14">
    <w:name w:val="Balloon Text"/>
    <w:basedOn w:val="1"/>
    <w:autoRedefine/>
    <w:semiHidden/>
    <w:qFormat/>
    <w:uiPriority w:val="99"/>
    <w:rPr>
      <w:sz w:val="18"/>
      <w:szCs w:val="18"/>
    </w:rPr>
  </w:style>
  <w:style w:type="paragraph" w:styleId="15">
    <w:name w:val="footer"/>
    <w:basedOn w:val="1"/>
    <w:autoRedefine/>
    <w:unhideWhenUsed/>
    <w:qFormat/>
    <w:uiPriority w:val="0"/>
    <w:pPr>
      <w:tabs>
        <w:tab w:val="center" w:pos="4153"/>
        <w:tab w:val="right" w:pos="8306"/>
      </w:tabs>
      <w:snapToGrid w:val="0"/>
      <w:jc w:val="left"/>
    </w:pPr>
    <w:rPr>
      <w:rFonts w:ascii="Times New Roman" w:hAnsi="Times New Roman" w:eastAsia="Times New Roman"/>
      <w:sz w:val="18"/>
      <w:szCs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basedOn w:val="21"/>
    <w:autoRedefine/>
    <w:unhideWhenUsed/>
    <w:qFormat/>
    <w:uiPriority w:val="0"/>
    <w:rPr>
      <w:color w:val="0000FF"/>
      <w:u w:val="single"/>
    </w:rPr>
  </w:style>
  <w:style w:type="paragraph" w:customStyle="1" w:styleId="24">
    <w:name w:val="Hu表内"/>
    <w:basedOn w:val="1"/>
    <w:autoRedefine/>
    <w:qFormat/>
    <w:uiPriority w:val="0"/>
    <w:pPr>
      <w:adjustRightInd w:val="0"/>
      <w:spacing w:line="240" w:lineRule="atLeast"/>
      <w:textAlignment w:val="baseline"/>
    </w:pPr>
    <w:rPr>
      <w:rFonts w:ascii="宋体" w:hAnsi="宋体"/>
      <w:kern w:val="0"/>
      <w:sz w:val="24"/>
      <w:szCs w:val="20"/>
    </w:rPr>
  </w:style>
  <w:style w:type="character" w:customStyle="1" w:styleId="25">
    <w:name w:val="font11"/>
    <w:basedOn w:val="21"/>
    <w:autoRedefine/>
    <w:qFormat/>
    <w:uiPriority w:val="0"/>
    <w:rPr>
      <w:rFonts w:hint="eastAsia" w:ascii="宋体" w:hAnsi="宋体" w:eastAsia="宋体" w:cs="宋体"/>
      <w:color w:val="000000"/>
      <w:sz w:val="24"/>
      <w:szCs w:val="24"/>
      <w:u w:val="none"/>
    </w:rPr>
  </w:style>
  <w:style w:type="paragraph" w:customStyle="1" w:styleId="26">
    <w:name w:val="文字"/>
    <w:basedOn w:val="1"/>
    <w:autoRedefine/>
    <w:qFormat/>
    <w:uiPriority w:val="0"/>
    <w:pPr>
      <w:widowControl/>
      <w:spacing w:after="120" w:line="360" w:lineRule="auto"/>
      <w:ind w:firstLine="420"/>
    </w:pPr>
    <w:rPr>
      <w:kern w:val="0"/>
      <w:sz w:val="24"/>
      <w:szCs w:val="20"/>
    </w:rPr>
  </w:style>
  <w:style w:type="character" w:customStyle="1" w:styleId="27">
    <w:name w:val="Char Char8"/>
    <w:basedOn w:val="21"/>
    <w:link w:val="3"/>
    <w:autoRedefine/>
    <w:qFormat/>
    <w:uiPriority w:val="0"/>
    <w:rPr>
      <w:rFonts w:hint="eastAsia" w:ascii="宋体" w:hAnsi="宋体" w:eastAsia="宋体" w:cs="宋体"/>
      <w:b/>
      <w:sz w:val="32"/>
      <w:szCs w:val="36"/>
      <w:lang w:val="en-US" w:eastAsia="zh-CN" w:bidi="ar"/>
    </w:rPr>
  </w:style>
  <w:style w:type="character" w:customStyle="1" w:styleId="28">
    <w:name w:val="Char Char7"/>
    <w:basedOn w:val="21"/>
    <w:link w:val="4"/>
    <w:autoRedefine/>
    <w:qFormat/>
    <w:uiPriority w:val="0"/>
    <w:rPr>
      <w:rFonts w:hint="eastAsia" w:ascii="宋体" w:hAnsi="宋体" w:eastAsia="宋体" w:cs="宋体"/>
      <w:b/>
      <w:kern w:val="2"/>
      <w:sz w:val="30"/>
      <w:szCs w:val="32"/>
      <w:lang w:val="en-US" w:eastAsia="zh-CN" w:bidi="ar"/>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 w:type="paragraph" w:customStyle="1" w:styleId="31">
    <w:name w:val="Default"/>
    <w:autoRedefine/>
    <w:unhideWhenUsed/>
    <w:qFormat/>
    <w:uiPriority w:val="99"/>
    <w:pPr>
      <w:widowControl w:val="0"/>
      <w:autoSpaceDE w:val="0"/>
      <w:autoSpaceDN w:val="0"/>
      <w:adjustRightInd w:val="0"/>
      <w:spacing w:beforeLines="0" w:afterLines="0"/>
    </w:pPr>
    <w:rPr>
      <w:rFonts w:hint="eastAsia" w:ascii="楷体" w:hAnsi="楷体" w:eastAsia="楷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26424</Words>
  <Characters>29674</Characters>
  <Lines>0</Lines>
  <Paragraphs>0</Paragraphs>
  <TotalTime>0</TotalTime>
  <ScaleCrop>false</ScaleCrop>
  <LinksUpToDate>false</LinksUpToDate>
  <CharactersWithSpaces>29963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2020-08-26T08:13:00Z</dcterms:created>
  <dc:creator>Lenovo2002</dc:creator>
  <cp:lastModifiedBy>米小米</cp:lastModifiedBy>
  <cp:lastPrinted>2020-09-17T08:57:00Z</cp:lastPrinted>
  <dcterms:modified xsi:type="dcterms:W3CDTF">2024-09-03T01:44:30Z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1BB21F1F09CD4963BEF1F9B02351DD8F_13</vt:lpwstr>
  </property>
</Properties>
</file>