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6"/>
          <w:szCs w:val="36"/>
        </w:rPr>
      </w:pPr>
    </w:p>
    <w:p>
      <w:pPr>
        <w:rPr>
          <w:rFonts w:eastAsia="仿宋_GB2312"/>
          <w:sz w:val="36"/>
          <w:szCs w:val="36"/>
        </w:rPr>
      </w:pPr>
    </w:p>
    <w:p>
      <w:pPr>
        <w:rPr>
          <w:rFonts w:eastAsia="仿宋_GB2312"/>
          <w:sz w:val="36"/>
          <w:szCs w:val="36"/>
        </w:rPr>
      </w:pPr>
    </w:p>
    <w:p>
      <w:pPr>
        <w:pStyle w:val="86"/>
        <w:ind w:firstLine="0" w:firstLineChars="0"/>
        <w:rPr>
          <w:b/>
          <w:bCs/>
          <w:sz w:val="72"/>
          <w:szCs w:val="72"/>
        </w:rPr>
      </w:pPr>
      <w:r>
        <w:rPr>
          <w:rFonts w:hint="eastAsia"/>
          <w:b/>
          <w:bCs/>
          <w:sz w:val="72"/>
          <w:szCs w:val="72"/>
        </w:rPr>
        <w:t>建设项目环境影响报告表</w:t>
      </w:r>
    </w:p>
    <w:p>
      <w:pPr>
        <w:adjustRightInd w:val="0"/>
        <w:snapToGrid w:val="0"/>
        <w:spacing w:before="192" w:beforeLines="80"/>
        <w:jc w:val="center"/>
        <w:rPr>
          <w:rFonts w:eastAsia="楷体_GB2312"/>
          <w:bCs/>
          <w:sz w:val="48"/>
          <w:szCs w:val="48"/>
        </w:rPr>
      </w:pPr>
      <w:r>
        <w:rPr>
          <w:rFonts w:eastAsia="楷体_GB2312"/>
          <w:bCs/>
          <w:sz w:val="48"/>
          <w:szCs w:val="48"/>
        </w:rPr>
        <w:t>（污染影响类）</w:t>
      </w:r>
    </w:p>
    <w:p>
      <w:pPr>
        <w:ind w:firstLine="1040"/>
        <w:rPr>
          <w:rFonts w:eastAsia="华文仿宋"/>
          <w:kern w:val="44"/>
          <w:sz w:val="44"/>
          <w:szCs w:val="44"/>
        </w:rPr>
      </w:pPr>
    </w:p>
    <w:p>
      <w:pPr>
        <w:jc w:val="center"/>
        <w:rPr>
          <w:rFonts w:eastAsia="仿宋"/>
          <w:sz w:val="52"/>
          <w:szCs w:val="52"/>
        </w:rPr>
      </w:pPr>
    </w:p>
    <w:p>
      <w:pPr>
        <w:pStyle w:val="44"/>
        <w:rPr>
          <w:rFonts w:eastAsia="仿宋"/>
          <w:color w:val="auto"/>
          <w:sz w:val="52"/>
          <w:szCs w:val="52"/>
        </w:rPr>
      </w:pPr>
    </w:p>
    <w:p>
      <w:pPr>
        <w:rPr>
          <w:rFonts w:eastAsia="仿宋"/>
          <w:sz w:val="52"/>
          <w:szCs w:val="52"/>
        </w:rPr>
      </w:pPr>
    </w:p>
    <w:p>
      <w:pPr>
        <w:pStyle w:val="44"/>
        <w:rPr>
          <w:rFonts w:eastAsia="仿宋"/>
          <w:color w:val="auto"/>
          <w:sz w:val="52"/>
          <w:szCs w:val="52"/>
        </w:rPr>
      </w:pPr>
    </w:p>
    <w:p/>
    <w:p>
      <w:pPr>
        <w:ind w:firstLine="1040"/>
        <w:rPr>
          <w:rFonts w:eastAsia="仿宋"/>
          <w:sz w:val="44"/>
          <w:szCs w:val="44"/>
        </w:rPr>
      </w:pPr>
    </w:p>
    <w:p>
      <w:pPr>
        <w:ind w:firstLine="1040"/>
        <w:rPr>
          <w:rFonts w:eastAsia="仿宋"/>
          <w:sz w:val="44"/>
          <w:szCs w:val="44"/>
        </w:rPr>
      </w:pPr>
    </w:p>
    <w:p>
      <w:pPr>
        <w:pStyle w:val="2"/>
      </w:pPr>
    </w:p>
    <w:p>
      <w:pPr>
        <w:ind w:firstLine="1040"/>
        <w:rPr>
          <w:rFonts w:eastAsia="仿宋"/>
          <w:sz w:val="44"/>
          <w:szCs w:val="44"/>
        </w:rPr>
      </w:pPr>
    </w:p>
    <w:p>
      <w:pPr>
        <w:ind w:firstLine="1040"/>
        <w:rPr>
          <w:sz w:val="44"/>
          <w:szCs w:val="44"/>
        </w:rPr>
      </w:pPr>
    </w:p>
    <w:p>
      <w:pPr>
        <w:adjustRightInd w:val="0"/>
        <w:snapToGrid w:val="0"/>
        <w:spacing w:line="288" w:lineRule="auto"/>
        <w:ind w:firstLine="640" w:firstLineChars="200"/>
        <w:rPr>
          <w:sz w:val="32"/>
          <w:szCs w:val="32"/>
          <w:u w:val="single"/>
        </w:rPr>
      </w:pPr>
      <w:r>
        <w:rPr>
          <w:sz w:val="32"/>
          <w:szCs w:val="32"/>
        </w:rPr>
        <w:t>项目名称：</w:t>
      </w:r>
      <w:r>
        <w:rPr>
          <w:rFonts w:hint="eastAsia"/>
          <w:sz w:val="32"/>
          <w:szCs w:val="32"/>
          <w:u w:val="single"/>
        </w:rPr>
        <w:t xml:space="preserve"> </w:t>
      </w:r>
      <w:r>
        <w:rPr>
          <w:sz w:val="32"/>
          <w:szCs w:val="32"/>
          <w:u w:val="single"/>
        </w:rPr>
        <w:t xml:space="preserve">      </w:t>
      </w:r>
      <w:r>
        <w:rPr>
          <w:rFonts w:hint="eastAsia"/>
          <w:sz w:val="32"/>
          <w:szCs w:val="32"/>
          <w:u w:val="single"/>
        </w:rPr>
        <w:t>陕西</w:t>
      </w:r>
      <w:r>
        <w:rPr>
          <w:rFonts w:hint="eastAsia"/>
          <w:sz w:val="32"/>
          <w:szCs w:val="32"/>
          <w:u w:val="single"/>
          <w:lang w:eastAsia="zh-CN"/>
        </w:rPr>
        <w:t>灞沣</w:t>
      </w:r>
      <w:r>
        <w:rPr>
          <w:rFonts w:hint="eastAsia"/>
          <w:sz w:val="32"/>
          <w:szCs w:val="32"/>
          <w:u w:val="single"/>
        </w:rPr>
        <w:t xml:space="preserve">源环保建材有限公司 </w:t>
      </w:r>
      <w:r>
        <w:rPr>
          <w:sz w:val="32"/>
          <w:szCs w:val="32"/>
          <w:u w:val="single"/>
        </w:rPr>
        <w:t xml:space="preserve">   </w:t>
      </w:r>
    </w:p>
    <w:p>
      <w:pPr>
        <w:adjustRightInd w:val="0"/>
        <w:snapToGrid w:val="0"/>
        <w:spacing w:line="288" w:lineRule="auto"/>
        <w:ind w:firstLine="2240" w:firstLineChars="700"/>
        <w:rPr>
          <w:sz w:val="32"/>
          <w:szCs w:val="32"/>
          <w:u w:val="single"/>
        </w:rPr>
      </w:pPr>
      <w:r>
        <w:rPr>
          <w:rFonts w:hint="eastAsia"/>
          <w:sz w:val="32"/>
          <w:szCs w:val="32"/>
          <w:u w:val="single"/>
        </w:rPr>
        <w:t xml:space="preserve"> </w:t>
      </w:r>
      <w:r>
        <w:rPr>
          <w:sz w:val="32"/>
          <w:szCs w:val="32"/>
          <w:u w:val="single"/>
        </w:rPr>
        <w:t xml:space="preserve">     </w:t>
      </w:r>
      <w:r>
        <w:rPr>
          <w:rFonts w:hint="eastAsia"/>
          <w:sz w:val="32"/>
          <w:szCs w:val="32"/>
          <w:u w:val="single"/>
        </w:rPr>
        <w:t xml:space="preserve"> </w:t>
      </w:r>
      <w:r>
        <w:rPr>
          <w:sz w:val="32"/>
          <w:szCs w:val="32"/>
          <w:u w:val="single"/>
        </w:rPr>
        <w:t xml:space="preserve">   </w:t>
      </w:r>
      <w:r>
        <w:rPr>
          <w:rFonts w:hint="eastAsia"/>
          <w:sz w:val="32"/>
          <w:szCs w:val="32"/>
          <w:u w:val="single"/>
        </w:rPr>
        <w:t xml:space="preserve">砂石建材回收利用项目 </w:t>
      </w:r>
      <w:r>
        <w:rPr>
          <w:sz w:val="32"/>
          <w:szCs w:val="32"/>
          <w:u w:val="single"/>
        </w:rPr>
        <w:t xml:space="preserve">     </w:t>
      </w:r>
      <w:r>
        <w:rPr>
          <w:rFonts w:hint="eastAsia"/>
          <w:sz w:val="32"/>
          <w:szCs w:val="32"/>
          <w:u w:val="single"/>
        </w:rPr>
        <w:t xml:space="preserve"> </w:t>
      </w:r>
    </w:p>
    <w:p>
      <w:pPr>
        <w:adjustRightInd w:val="0"/>
        <w:snapToGrid w:val="0"/>
        <w:spacing w:line="288" w:lineRule="auto"/>
        <w:ind w:firstLine="640" w:firstLineChars="200"/>
        <w:rPr>
          <w:sz w:val="32"/>
          <w:szCs w:val="32"/>
          <w:u w:val="single"/>
        </w:rPr>
      </w:pPr>
      <w:r>
        <w:rPr>
          <w:sz w:val="32"/>
          <w:szCs w:val="32"/>
        </w:rPr>
        <w:t>建设单位（盖章）：</w:t>
      </w:r>
      <w:bookmarkStart w:id="0" w:name="_Hlk103018301"/>
      <w:r>
        <w:rPr>
          <w:rFonts w:hint="eastAsia"/>
          <w:sz w:val="32"/>
          <w:szCs w:val="32"/>
          <w:u w:val="single"/>
        </w:rPr>
        <w:t>陕西</w:t>
      </w:r>
      <w:r>
        <w:rPr>
          <w:rFonts w:hint="eastAsia"/>
          <w:sz w:val="32"/>
          <w:szCs w:val="32"/>
          <w:u w:val="single"/>
          <w:lang w:eastAsia="zh-CN"/>
        </w:rPr>
        <w:t>灞沣</w:t>
      </w:r>
      <w:r>
        <w:rPr>
          <w:rFonts w:hint="eastAsia"/>
          <w:sz w:val="32"/>
          <w:szCs w:val="32"/>
          <w:u w:val="single"/>
        </w:rPr>
        <w:t>源环保建材有限公司</w:t>
      </w:r>
      <w:bookmarkEnd w:id="0"/>
      <w:r>
        <w:rPr>
          <w:rFonts w:hint="eastAsia"/>
          <w:sz w:val="32"/>
          <w:szCs w:val="32"/>
          <w:u w:val="single"/>
        </w:rPr>
        <w:t xml:space="preserve">    </w:t>
      </w:r>
    </w:p>
    <w:p>
      <w:pPr>
        <w:adjustRightInd w:val="0"/>
        <w:snapToGrid w:val="0"/>
        <w:spacing w:line="288" w:lineRule="auto"/>
        <w:ind w:firstLine="640" w:firstLineChars="200"/>
        <w:rPr>
          <w:sz w:val="32"/>
          <w:szCs w:val="32"/>
          <w:u w:val="single"/>
        </w:rPr>
      </w:pPr>
      <w:r>
        <w:rPr>
          <w:sz w:val="32"/>
          <w:szCs w:val="32"/>
        </w:rPr>
        <w:t>编制日期：</w:t>
      </w:r>
      <w:r>
        <w:rPr>
          <w:sz w:val="32"/>
          <w:szCs w:val="32"/>
          <w:u w:val="single"/>
        </w:rPr>
        <w:t xml:space="preserve">             二零二</w:t>
      </w:r>
      <w:r>
        <w:rPr>
          <w:rFonts w:hint="eastAsia"/>
          <w:sz w:val="32"/>
          <w:szCs w:val="32"/>
          <w:u w:val="single"/>
        </w:rPr>
        <w:t>二</w:t>
      </w:r>
      <w:r>
        <w:rPr>
          <w:sz w:val="32"/>
          <w:szCs w:val="32"/>
          <w:u w:val="single"/>
        </w:rPr>
        <w:t>年</w:t>
      </w:r>
      <w:r>
        <w:rPr>
          <w:rFonts w:hint="eastAsia"/>
          <w:sz w:val="32"/>
          <w:szCs w:val="32"/>
          <w:u w:val="single"/>
        </w:rPr>
        <w:t>五</w:t>
      </w:r>
      <w:r>
        <w:rPr>
          <w:sz w:val="32"/>
          <w:szCs w:val="32"/>
          <w:u w:val="single"/>
        </w:rPr>
        <w:t xml:space="preserve">月           </w:t>
      </w:r>
    </w:p>
    <w:p>
      <w:pPr>
        <w:adjustRightInd w:val="0"/>
        <w:snapToGrid w:val="0"/>
        <w:spacing w:line="288" w:lineRule="auto"/>
        <w:ind w:firstLine="1040"/>
        <w:rPr>
          <w:sz w:val="36"/>
          <w:szCs w:val="36"/>
          <w:u w:val="single"/>
        </w:rPr>
      </w:pPr>
      <w:bookmarkStart w:id="1" w:name="_Hlk57884087"/>
    </w:p>
    <w:p>
      <w:pPr>
        <w:adjustRightInd w:val="0"/>
        <w:snapToGrid w:val="0"/>
        <w:spacing w:line="288" w:lineRule="auto"/>
        <w:rPr>
          <w:sz w:val="36"/>
          <w:szCs w:val="36"/>
        </w:rPr>
      </w:pPr>
    </w:p>
    <w:p>
      <w:pPr>
        <w:adjustRightInd w:val="0"/>
        <w:snapToGrid w:val="0"/>
        <w:spacing w:line="288" w:lineRule="auto"/>
        <w:rPr>
          <w:rFonts w:eastAsia="仿宋_GB2312"/>
          <w:sz w:val="36"/>
          <w:szCs w:val="36"/>
        </w:rPr>
      </w:pPr>
    </w:p>
    <w:bookmarkEnd w:id="1"/>
    <w:p>
      <w:pPr>
        <w:adjustRightInd w:val="0"/>
        <w:snapToGrid w:val="0"/>
        <w:spacing w:line="288" w:lineRule="auto"/>
        <w:jc w:val="center"/>
        <w:rPr>
          <w:rFonts w:eastAsia="楷体_GB2312"/>
          <w:sz w:val="36"/>
          <w:szCs w:val="36"/>
        </w:rPr>
      </w:pPr>
      <w:r>
        <w:rPr>
          <w:rFonts w:eastAsia="楷体_GB2312"/>
          <w:sz w:val="36"/>
          <w:szCs w:val="36"/>
        </w:rPr>
        <w:t>中华人民共和国生态环境部制</w:t>
      </w:r>
    </w:p>
    <w:p>
      <w:pPr>
        <w:adjustRightInd w:val="0"/>
        <w:snapToGrid w:val="0"/>
        <w:spacing w:line="288" w:lineRule="auto"/>
        <w:rPr>
          <w:rFonts w:eastAsia="仿宋_GB2312"/>
          <w:sz w:val="36"/>
          <w:szCs w:val="36"/>
          <w:highlight w:val="cyan"/>
        </w:rPr>
      </w:pPr>
    </w:p>
    <w:p>
      <w:pPr>
        <w:pStyle w:val="2"/>
        <w:rPr>
          <w:highlight w:val="cyan"/>
        </w:rPr>
      </w:pPr>
    </w:p>
    <w:p>
      <w:pPr>
        <w:rPr>
          <w:highlight w:val="cyan"/>
        </w:rPr>
      </w:pPr>
    </w:p>
    <w:p>
      <w:pPr>
        <w:adjustRightInd w:val="0"/>
        <w:snapToGrid w:val="0"/>
        <w:spacing w:line="360" w:lineRule="auto"/>
        <w:jc w:val="center"/>
      </w:pPr>
      <w:r>
        <w:rPr>
          <w:b/>
          <w:color w:val="000000"/>
          <w:sz w:val="48"/>
          <w:szCs w:val="48"/>
        </w:rPr>
        <w:t>目录</w:t>
      </w:r>
      <w:r>
        <w:rPr>
          <w:color w:val="000000"/>
          <w:sz w:val="48"/>
          <w:szCs w:val="48"/>
        </w:rPr>
        <w:fldChar w:fldCharType="begin"/>
      </w:r>
      <w:r>
        <w:rPr>
          <w:color w:val="000000"/>
          <w:sz w:val="48"/>
          <w:szCs w:val="48"/>
        </w:rPr>
        <w:instrText xml:space="preserve"> TOC \o "1-3" \h \z \u </w:instrText>
      </w:r>
      <w:r>
        <w:rPr>
          <w:color w:val="000000"/>
          <w:sz w:val="48"/>
          <w:szCs w:val="48"/>
        </w:rPr>
        <w:fldChar w:fldCharType="separate"/>
      </w:r>
    </w:p>
    <w:p>
      <w:pPr>
        <w:pStyle w:val="17"/>
        <w:rPr>
          <w:rFonts w:asciiTheme="minorHAnsi" w:hAnsiTheme="minorHAnsi" w:eastAsiaTheme="minorEastAsia" w:cstheme="minorBidi"/>
          <w:sz w:val="28"/>
          <w:szCs w:val="28"/>
        </w:rPr>
      </w:pPr>
      <w:r>
        <w:fldChar w:fldCharType="begin"/>
      </w:r>
      <w:r>
        <w:instrText xml:space="preserve"> HYPERLINK \l "_Toc103016566" </w:instrText>
      </w:r>
      <w:r>
        <w:fldChar w:fldCharType="separate"/>
      </w:r>
      <w:r>
        <w:rPr>
          <w:rStyle w:val="31"/>
          <w:rFonts w:eastAsia="黑体"/>
          <w:snapToGrid w:val="0"/>
          <w:sz w:val="28"/>
          <w:szCs w:val="28"/>
        </w:rPr>
        <w:t>一、建设项目基本情况</w:t>
      </w:r>
      <w:r>
        <w:rPr>
          <w:sz w:val="28"/>
          <w:szCs w:val="28"/>
        </w:rPr>
        <w:tab/>
      </w:r>
      <w:r>
        <w:rPr>
          <w:sz w:val="28"/>
          <w:szCs w:val="28"/>
        </w:rPr>
        <w:fldChar w:fldCharType="begin"/>
      </w:r>
      <w:r>
        <w:rPr>
          <w:sz w:val="28"/>
          <w:szCs w:val="28"/>
        </w:rPr>
        <w:instrText xml:space="preserve"> PAGEREF _Toc103016566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7"/>
        <w:rPr>
          <w:rFonts w:asciiTheme="minorHAnsi" w:hAnsiTheme="minorHAnsi" w:eastAsiaTheme="minorEastAsia" w:cstheme="minorBidi"/>
          <w:sz w:val="28"/>
          <w:szCs w:val="28"/>
        </w:rPr>
      </w:pPr>
      <w:r>
        <w:fldChar w:fldCharType="begin"/>
      </w:r>
      <w:r>
        <w:instrText xml:space="preserve"> HYPERLINK \l "_Toc103016567" </w:instrText>
      </w:r>
      <w:r>
        <w:fldChar w:fldCharType="separate"/>
      </w:r>
      <w:r>
        <w:rPr>
          <w:rStyle w:val="31"/>
          <w:rFonts w:eastAsia="黑体"/>
          <w:snapToGrid w:val="0"/>
          <w:sz w:val="28"/>
          <w:szCs w:val="28"/>
        </w:rPr>
        <w:t>二、建设项目工程分析</w:t>
      </w:r>
      <w:r>
        <w:rPr>
          <w:sz w:val="28"/>
          <w:szCs w:val="28"/>
        </w:rPr>
        <w:tab/>
      </w:r>
      <w:r>
        <w:rPr>
          <w:sz w:val="28"/>
          <w:szCs w:val="28"/>
        </w:rPr>
        <w:fldChar w:fldCharType="begin"/>
      </w:r>
      <w:r>
        <w:rPr>
          <w:sz w:val="28"/>
          <w:szCs w:val="28"/>
        </w:rPr>
        <w:instrText xml:space="preserve"> PAGEREF _Toc103016567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17"/>
        <w:rPr>
          <w:rFonts w:asciiTheme="minorHAnsi" w:hAnsiTheme="minorHAnsi" w:eastAsiaTheme="minorEastAsia" w:cstheme="minorBidi"/>
          <w:sz w:val="28"/>
          <w:szCs w:val="28"/>
        </w:rPr>
      </w:pPr>
      <w:r>
        <w:fldChar w:fldCharType="begin"/>
      </w:r>
      <w:r>
        <w:instrText xml:space="preserve"> HYPERLINK \l "_Toc103016568" </w:instrText>
      </w:r>
      <w:r>
        <w:fldChar w:fldCharType="separate"/>
      </w:r>
      <w:r>
        <w:rPr>
          <w:rStyle w:val="31"/>
          <w:rFonts w:eastAsia="黑体"/>
          <w:snapToGrid w:val="0"/>
          <w:sz w:val="28"/>
          <w:szCs w:val="28"/>
        </w:rPr>
        <w:t>三、区域环境质量现状、环境保护目标及评价标准</w:t>
      </w:r>
      <w:r>
        <w:rPr>
          <w:sz w:val="28"/>
          <w:szCs w:val="28"/>
        </w:rPr>
        <w:tab/>
      </w:r>
      <w:r>
        <w:rPr>
          <w:sz w:val="28"/>
          <w:szCs w:val="28"/>
        </w:rPr>
        <w:fldChar w:fldCharType="begin"/>
      </w:r>
      <w:r>
        <w:rPr>
          <w:sz w:val="28"/>
          <w:szCs w:val="28"/>
        </w:rPr>
        <w:instrText xml:space="preserve"> PAGEREF _Toc103016568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17"/>
        <w:rPr>
          <w:rFonts w:asciiTheme="minorHAnsi" w:hAnsiTheme="minorHAnsi" w:eastAsiaTheme="minorEastAsia" w:cstheme="minorBidi"/>
          <w:sz w:val="28"/>
          <w:szCs w:val="28"/>
        </w:rPr>
      </w:pPr>
      <w:r>
        <w:fldChar w:fldCharType="begin"/>
      </w:r>
      <w:r>
        <w:instrText xml:space="preserve"> HYPERLINK \l "_Toc103016569" </w:instrText>
      </w:r>
      <w:r>
        <w:fldChar w:fldCharType="separate"/>
      </w:r>
      <w:r>
        <w:rPr>
          <w:rStyle w:val="31"/>
          <w:rFonts w:eastAsia="黑体"/>
          <w:snapToGrid w:val="0"/>
          <w:sz w:val="28"/>
          <w:szCs w:val="28"/>
        </w:rPr>
        <w:t>四、主要环境影响和保护措施</w:t>
      </w:r>
      <w:r>
        <w:rPr>
          <w:sz w:val="28"/>
          <w:szCs w:val="28"/>
        </w:rPr>
        <w:tab/>
      </w:r>
      <w:r>
        <w:rPr>
          <w:sz w:val="28"/>
          <w:szCs w:val="28"/>
        </w:rPr>
        <w:fldChar w:fldCharType="begin"/>
      </w:r>
      <w:r>
        <w:rPr>
          <w:sz w:val="28"/>
          <w:szCs w:val="28"/>
        </w:rPr>
        <w:instrText xml:space="preserve"> PAGEREF _Toc103016569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17"/>
        <w:rPr>
          <w:rFonts w:asciiTheme="minorHAnsi" w:hAnsiTheme="minorHAnsi" w:eastAsiaTheme="minorEastAsia" w:cstheme="minorBidi"/>
          <w:sz w:val="28"/>
          <w:szCs w:val="28"/>
        </w:rPr>
      </w:pPr>
      <w:r>
        <w:fldChar w:fldCharType="begin"/>
      </w:r>
      <w:r>
        <w:instrText xml:space="preserve"> HYPERLINK \l "_Toc103016570" </w:instrText>
      </w:r>
      <w:r>
        <w:fldChar w:fldCharType="separate"/>
      </w:r>
      <w:r>
        <w:rPr>
          <w:rStyle w:val="31"/>
          <w:rFonts w:eastAsia="黑体"/>
          <w:snapToGrid w:val="0"/>
          <w:sz w:val="28"/>
          <w:szCs w:val="28"/>
        </w:rPr>
        <w:t>五、环境保护措施监督检查清单</w:t>
      </w:r>
      <w:bookmarkStart w:id="2" w:name="_Hlk103016574"/>
      <w:r>
        <w:rPr>
          <w:sz w:val="28"/>
          <w:szCs w:val="28"/>
        </w:rPr>
        <w:tab/>
      </w:r>
      <w:bookmarkEnd w:id="2"/>
      <w:r>
        <w:rPr>
          <w:sz w:val="28"/>
          <w:szCs w:val="28"/>
        </w:rPr>
        <w:fldChar w:fldCharType="begin"/>
      </w:r>
      <w:r>
        <w:rPr>
          <w:sz w:val="28"/>
          <w:szCs w:val="28"/>
        </w:rPr>
        <w:instrText xml:space="preserve"> PAGEREF _Toc103016570 \h </w:instrText>
      </w:r>
      <w:r>
        <w:rPr>
          <w:sz w:val="28"/>
          <w:szCs w:val="28"/>
        </w:rPr>
        <w:fldChar w:fldCharType="separate"/>
      </w:r>
      <w:r>
        <w:rPr>
          <w:sz w:val="28"/>
          <w:szCs w:val="28"/>
        </w:rPr>
        <w:t>31</w:t>
      </w:r>
      <w:r>
        <w:rPr>
          <w:sz w:val="28"/>
          <w:szCs w:val="28"/>
        </w:rPr>
        <w:fldChar w:fldCharType="end"/>
      </w:r>
      <w:r>
        <w:rPr>
          <w:sz w:val="28"/>
          <w:szCs w:val="28"/>
        </w:rPr>
        <w:fldChar w:fldCharType="end"/>
      </w:r>
    </w:p>
    <w:p>
      <w:pPr>
        <w:pStyle w:val="17"/>
        <w:rPr>
          <w:rFonts w:asciiTheme="minorHAnsi" w:hAnsiTheme="minorHAnsi" w:eastAsiaTheme="minorEastAsia" w:cstheme="minorBidi"/>
          <w:sz w:val="28"/>
          <w:szCs w:val="28"/>
        </w:rPr>
      </w:pPr>
      <w:r>
        <w:fldChar w:fldCharType="begin"/>
      </w:r>
      <w:r>
        <w:instrText xml:space="preserve"> HYPERLINK \l "_Toc103016571" </w:instrText>
      </w:r>
      <w:r>
        <w:fldChar w:fldCharType="separate"/>
      </w:r>
      <w:r>
        <w:rPr>
          <w:rStyle w:val="31"/>
          <w:rFonts w:eastAsia="黑体"/>
          <w:snapToGrid w:val="0"/>
          <w:sz w:val="28"/>
          <w:szCs w:val="28"/>
        </w:rPr>
        <w:t>六、结论</w:t>
      </w:r>
      <w:r>
        <w:rPr>
          <w:rStyle w:val="31"/>
          <w:rFonts w:eastAsia="黑体"/>
          <w:snapToGrid w:val="0"/>
          <w:sz w:val="28"/>
          <w:szCs w:val="28"/>
        </w:rPr>
        <w:tab/>
      </w:r>
      <w:r>
        <w:rPr>
          <w:sz w:val="28"/>
          <w:szCs w:val="28"/>
        </w:rPr>
        <w:tab/>
      </w:r>
      <w:r>
        <w:rPr>
          <w:sz w:val="28"/>
          <w:szCs w:val="28"/>
        </w:rPr>
        <w:fldChar w:fldCharType="begin"/>
      </w:r>
      <w:r>
        <w:rPr>
          <w:sz w:val="28"/>
          <w:szCs w:val="28"/>
        </w:rPr>
        <w:instrText xml:space="preserve"> PAGEREF _Toc103016571 \h </w:instrText>
      </w:r>
      <w:r>
        <w:rPr>
          <w:sz w:val="28"/>
          <w:szCs w:val="28"/>
        </w:rPr>
        <w:fldChar w:fldCharType="separate"/>
      </w:r>
      <w:r>
        <w:rPr>
          <w:sz w:val="28"/>
          <w:szCs w:val="28"/>
        </w:rPr>
        <w:t>33</w:t>
      </w:r>
      <w:r>
        <w:rPr>
          <w:sz w:val="28"/>
          <w:szCs w:val="28"/>
        </w:rPr>
        <w:fldChar w:fldCharType="end"/>
      </w:r>
      <w:r>
        <w:rPr>
          <w:sz w:val="28"/>
          <w:szCs w:val="28"/>
        </w:rPr>
        <w:fldChar w:fldCharType="end"/>
      </w:r>
    </w:p>
    <w:p>
      <w:pPr>
        <w:pStyle w:val="17"/>
        <w:rPr>
          <w:rFonts w:asciiTheme="minorHAnsi" w:hAnsiTheme="minorHAnsi" w:eastAsiaTheme="minorEastAsia" w:cstheme="minorBidi"/>
          <w:sz w:val="28"/>
          <w:szCs w:val="28"/>
        </w:rPr>
      </w:pPr>
      <w:r>
        <w:fldChar w:fldCharType="begin"/>
      </w:r>
      <w:r>
        <w:instrText xml:space="preserve"> HYPERLINK \l "_Toc103016572" </w:instrText>
      </w:r>
      <w:r>
        <w:fldChar w:fldCharType="separate"/>
      </w:r>
      <w:r>
        <w:rPr>
          <w:rStyle w:val="31"/>
          <w:rFonts w:eastAsia="黑体"/>
          <w:snapToGrid w:val="0"/>
          <w:sz w:val="28"/>
          <w:szCs w:val="28"/>
        </w:rPr>
        <w:t>附表</w:t>
      </w:r>
      <w:r>
        <w:rPr>
          <w:rStyle w:val="31"/>
          <w:rFonts w:eastAsia="黑体"/>
          <w:snapToGrid w:val="0"/>
          <w:sz w:val="28"/>
          <w:szCs w:val="28"/>
        </w:rPr>
        <w:tab/>
      </w:r>
      <w:r>
        <w:rPr>
          <w:sz w:val="28"/>
          <w:szCs w:val="28"/>
        </w:rPr>
        <w:tab/>
      </w:r>
      <w:r>
        <w:rPr>
          <w:sz w:val="28"/>
          <w:szCs w:val="28"/>
        </w:rPr>
        <w:fldChar w:fldCharType="begin"/>
      </w:r>
      <w:r>
        <w:rPr>
          <w:sz w:val="28"/>
          <w:szCs w:val="28"/>
        </w:rPr>
        <w:instrText xml:space="preserve"> PAGEREF _Toc103016572 \h </w:instrText>
      </w:r>
      <w:r>
        <w:rPr>
          <w:sz w:val="28"/>
          <w:szCs w:val="28"/>
        </w:rPr>
        <w:fldChar w:fldCharType="separate"/>
      </w:r>
      <w:r>
        <w:rPr>
          <w:sz w:val="28"/>
          <w:szCs w:val="28"/>
        </w:rPr>
        <w:t>34</w:t>
      </w:r>
      <w:r>
        <w:rPr>
          <w:sz w:val="28"/>
          <w:szCs w:val="28"/>
        </w:rPr>
        <w:fldChar w:fldCharType="end"/>
      </w:r>
      <w:r>
        <w:rPr>
          <w:sz w:val="28"/>
          <w:szCs w:val="28"/>
        </w:rPr>
        <w:fldChar w:fldCharType="end"/>
      </w:r>
    </w:p>
    <w:p>
      <w:pPr>
        <w:pStyle w:val="2"/>
        <w:rPr>
          <w:highlight w:val="cyan"/>
        </w:rPr>
      </w:pPr>
      <w:r>
        <w:rPr>
          <w:color w:val="000000"/>
          <w:sz w:val="24"/>
        </w:rPr>
        <w:fldChar w:fldCharType="end"/>
      </w:r>
    </w:p>
    <w:p>
      <w:pPr>
        <w:rPr>
          <w:highlight w:val="cyan"/>
        </w:rPr>
      </w:pPr>
    </w:p>
    <w:p>
      <w:pPr>
        <w:pStyle w:val="2"/>
        <w:rPr>
          <w:highlight w:val="cyan"/>
        </w:rPr>
      </w:pPr>
    </w:p>
    <w:p>
      <w:pPr>
        <w:rPr>
          <w:highlight w:val="cyan"/>
        </w:rPr>
      </w:pPr>
    </w:p>
    <w:p>
      <w:pPr>
        <w:pStyle w:val="2"/>
        <w:rPr>
          <w:highlight w:val="cyan"/>
        </w:rPr>
      </w:pPr>
    </w:p>
    <w:p>
      <w:pPr>
        <w:rPr>
          <w:highlight w:val="cyan"/>
        </w:rPr>
      </w:pPr>
    </w:p>
    <w:p>
      <w:pPr>
        <w:pStyle w:val="2"/>
        <w:rPr>
          <w:highlight w:val="cyan"/>
        </w:rPr>
      </w:pPr>
    </w:p>
    <w:p>
      <w:pPr>
        <w:rPr>
          <w:highlight w:val="cyan"/>
        </w:rPr>
      </w:pPr>
    </w:p>
    <w:p>
      <w:pPr>
        <w:pStyle w:val="2"/>
        <w:rPr>
          <w:highlight w:val="cyan"/>
        </w:rPr>
      </w:pPr>
    </w:p>
    <w:p>
      <w:pPr>
        <w:rPr>
          <w:highlight w:val="cyan"/>
        </w:rPr>
      </w:pPr>
    </w:p>
    <w:p>
      <w:pPr>
        <w:pStyle w:val="2"/>
        <w:rPr>
          <w:highlight w:val="cyan"/>
        </w:rPr>
      </w:pPr>
    </w:p>
    <w:p>
      <w:pPr>
        <w:rPr>
          <w:highlight w:val="cyan"/>
        </w:rPr>
      </w:pPr>
    </w:p>
    <w:p>
      <w:pPr>
        <w:pStyle w:val="2"/>
        <w:rPr>
          <w:highlight w:val="cyan"/>
        </w:rPr>
      </w:pPr>
    </w:p>
    <w:p>
      <w:pPr>
        <w:rPr>
          <w:highlight w:val="cyan"/>
        </w:rPr>
      </w:pPr>
    </w:p>
    <w:p>
      <w:pPr>
        <w:pStyle w:val="2"/>
        <w:rPr>
          <w:highlight w:val="cyan"/>
        </w:rPr>
      </w:pPr>
    </w:p>
    <w:p>
      <w:pPr>
        <w:rPr>
          <w:highlight w:val="cyan"/>
        </w:rPr>
      </w:pPr>
    </w:p>
    <w:p>
      <w:pPr>
        <w:pStyle w:val="2"/>
        <w:rPr>
          <w:highlight w:val="cyan"/>
        </w:rPr>
        <w:sectPr>
          <w:footerReference r:id="rId3" w:type="default"/>
          <w:footerReference r:id="rId4" w:type="even"/>
          <w:pgSz w:w="11906" w:h="16838"/>
          <w:pgMar w:top="1701" w:right="1531" w:bottom="1701" w:left="1531" w:header="851" w:footer="1077" w:gutter="0"/>
          <w:pgNumType w:start="3"/>
          <w:cols w:space="720" w:num="1"/>
          <w:docGrid w:linePitch="312" w:charSpace="0"/>
        </w:sectPr>
      </w:pPr>
    </w:p>
    <w:p>
      <w:pPr>
        <w:pStyle w:val="21"/>
        <w:jc w:val="center"/>
        <w:outlineLvl w:val="0"/>
        <w:rPr>
          <w:rFonts w:ascii="Times New Roman" w:hAnsi="Times New Roman" w:eastAsia="黑体"/>
          <w:snapToGrid w:val="0"/>
          <w:sz w:val="30"/>
          <w:szCs w:val="30"/>
        </w:rPr>
      </w:pPr>
      <w:bookmarkStart w:id="3" w:name="_Toc103016566"/>
      <w:r>
        <w:rPr>
          <w:rFonts w:ascii="Times New Roman" w:hAnsi="Times New Roman" w:eastAsia="黑体"/>
          <w:snapToGrid w:val="0"/>
          <w:sz w:val="30"/>
          <w:szCs w:val="30"/>
        </w:rPr>
        <w:t>一、建设项目基本情况</w:t>
      </w:r>
      <w:bookmarkEnd w:id="3"/>
    </w:p>
    <w:tbl>
      <w:tblPr>
        <w:tblStyle w:val="26"/>
        <w:tblW w:w="498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061"/>
        <w:gridCol w:w="2359"/>
        <w:gridCol w:w="1953"/>
        <w:gridCol w:w="27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63" w:type="dxa"/>
            <w:tcMar>
              <w:top w:w="16" w:type="dxa"/>
              <w:left w:w="16" w:type="dxa"/>
              <w:right w:w="16" w:type="dxa"/>
            </w:tcMar>
            <w:vAlign w:val="center"/>
          </w:tcPr>
          <w:p>
            <w:pPr>
              <w:adjustRightInd w:val="0"/>
              <w:snapToGrid w:val="0"/>
              <w:jc w:val="center"/>
              <w:rPr>
                <w:sz w:val="24"/>
              </w:rPr>
            </w:pPr>
            <w:r>
              <w:rPr>
                <w:sz w:val="24"/>
              </w:rPr>
              <w:t>建设项目名称</w:t>
            </w:r>
          </w:p>
        </w:tc>
        <w:tc>
          <w:tcPr>
            <w:tcW w:w="7019" w:type="dxa"/>
            <w:gridSpan w:val="3"/>
            <w:vAlign w:val="center"/>
          </w:tcPr>
          <w:p>
            <w:pPr>
              <w:adjustRightInd w:val="0"/>
              <w:snapToGrid w:val="0"/>
              <w:jc w:val="center"/>
              <w:rPr>
                <w:sz w:val="24"/>
              </w:rPr>
            </w:pPr>
            <w:r>
              <w:rPr>
                <w:rFonts w:hint="eastAsia"/>
                <w:sz w:val="24"/>
              </w:rPr>
              <w:t>陕西</w:t>
            </w:r>
            <w:r>
              <w:rPr>
                <w:rFonts w:hint="eastAsia"/>
                <w:sz w:val="24"/>
                <w:lang w:eastAsia="zh-CN"/>
              </w:rPr>
              <w:t>灞沣</w:t>
            </w:r>
            <w:r>
              <w:rPr>
                <w:rFonts w:hint="eastAsia"/>
                <w:sz w:val="24"/>
              </w:rPr>
              <w:t>源环保建材有限公司砂石建材回收利用项目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63" w:type="dxa"/>
            <w:tcMar>
              <w:top w:w="16" w:type="dxa"/>
              <w:left w:w="16" w:type="dxa"/>
              <w:right w:w="16" w:type="dxa"/>
            </w:tcMar>
            <w:vAlign w:val="center"/>
          </w:tcPr>
          <w:p>
            <w:pPr>
              <w:adjustRightInd w:val="0"/>
              <w:snapToGrid w:val="0"/>
              <w:jc w:val="center"/>
              <w:rPr>
                <w:sz w:val="24"/>
              </w:rPr>
            </w:pPr>
            <w:r>
              <w:rPr>
                <w:sz w:val="24"/>
              </w:rPr>
              <w:t>项目代码</w:t>
            </w:r>
          </w:p>
        </w:tc>
        <w:tc>
          <w:tcPr>
            <w:tcW w:w="7019" w:type="dxa"/>
            <w:gridSpan w:val="3"/>
            <w:vAlign w:val="center"/>
          </w:tcPr>
          <w:p>
            <w:pPr>
              <w:adjustRightInd w:val="0"/>
              <w:snapToGrid w:val="0"/>
              <w:jc w:val="center"/>
              <w:rPr>
                <w:sz w:val="24"/>
              </w:rPr>
            </w:pPr>
            <w:r>
              <w:rPr>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63" w:type="dxa"/>
            <w:tcMar>
              <w:top w:w="16" w:type="dxa"/>
              <w:left w:w="16" w:type="dxa"/>
              <w:right w:w="16" w:type="dxa"/>
            </w:tcMar>
            <w:vAlign w:val="center"/>
          </w:tcPr>
          <w:p>
            <w:pPr>
              <w:adjustRightInd w:val="0"/>
              <w:snapToGrid w:val="0"/>
              <w:jc w:val="center"/>
              <w:rPr>
                <w:sz w:val="24"/>
              </w:rPr>
            </w:pPr>
            <w:r>
              <w:rPr>
                <w:sz w:val="24"/>
              </w:rPr>
              <w:t>建设单位联系人</w:t>
            </w:r>
          </w:p>
        </w:tc>
        <w:tc>
          <w:tcPr>
            <w:tcW w:w="2361" w:type="dxa"/>
            <w:vAlign w:val="center"/>
          </w:tcPr>
          <w:p>
            <w:pPr>
              <w:adjustRightInd w:val="0"/>
              <w:snapToGrid w:val="0"/>
              <w:jc w:val="center"/>
              <w:rPr>
                <w:sz w:val="24"/>
              </w:rPr>
            </w:pPr>
            <w:r>
              <w:rPr>
                <w:rFonts w:hint="eastAsia"/>
                <w:bCs/>
                <w:sz w:val="24"/>
              </w:rPr>
              <w:t>孙杰</w:t>
            </w:r>
          </w:p>
        </w:tc>
        <w:tc>
          <w:tcPr>
            <w:tcW w:w="1955" w:type="dxa"/>
            <w:vAlign w:val="center"/>
          </w:tcPr>
          <w:p>
            <w:pPr>
              <w:adjustRightInd w:val="0"/>
              <w:snapToGrid w:val="0"/>
              <w:jc w:val="center"/>
              <w:rPr>
                <w:sz w:val="24"/>
              </w:rPr>
            </w:pPr>
            <w:r>
              <w:rPr>
                <w:sz w:val="24"/>
              </w:rPr>
              <w:t>联系方式</w:t>
            </w:r>
          </w:p>
        </w:tc>
        <w:tc>
          <w:tcPr>
            <w:tcW w:w="2703" w:type="dxa"/>
            <w:vAlign w:val="center"/>
          </w:tcPr>
          <w:p>
            <w:pPr>
              <w:adjustRightInd w:val="0"/>
              <w:snapToGrid w:val="0"/>
              <w:jc w:val="center"/>
              <w:rPr>
                <w:sz w:val="24"/>
              </w:rPr>
            </w:pPr>
            <w:r>
              <w:rPr>
                <w:rFonts w:hint="eastAsia"/>
                <w:bCs/>
                <w:sz w:val="24"/>
              </w:rPr>
              <w:t>199</w:t>
            </w:r>
            <w:r>
              <w:rPr>
                <w:rFonts w:hint="default"/>
                <w:bCs/>
                <w:sz w:val="24"/>
                <w:lang w:val="en-US"/>
              </w:rPr>
              <w:t>xxxx</w:t>
            </w:r>
            <w:bookmarkStart w:id="15" w:name="_GoBack"/>
            <w:bookmarkEnd w:id="15"/>
            <w:r>
              <w:rPr>
                <w:rFonts w:hint="eastAsia"/>
                <w:bCs/>
                <w:sz w:val="24"/>
              </w:rPr>
              <w:t>4671</w:t>
            </w:r>
            <w:r>
              <w:rPr>
                <w:bCs/>
                <w:sz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2063" w:type="dxa"/>
            <w:tcMar>
              <w:top w:w="16" w:type="dxa"/>
              <w:left w:w="16" w:type="dxa"/>
              <w:right w:w="16" w:type="dxa"/>
            </w:tcMar>
            <w:vAlign w:val="center"/>
          </w:tcPr>
          <w:p>
            <w:pPr>
              <w:adjustRightInd w:val="0"/>
              <w:snapToGrid w:val="0"/>
              <w:jc w:val="center"/>
              <w:rPr>
                <w:sz w:val="24"/>
              </w:rPr>
            </w:pPr>
            <w:r>
              <w:rPr>
                <w:sz w:val="24"/>
              </w:rPr>
              <w:t>建设地点</w:t>
            </w:r>
          </w:p>
        </w:tc>
        <w:tc>
          <w:tcPr>
            <w:tcW w:w="7019" w:type="dxa"/>
            <w:gridSpan w:val="3"/>
            <w:vAlign w:val="center"/>
          </w:tcPr>
          <w:p>
            <w:pPr>
              <w:adjustRightInd w:val="0"/>
              <w:snapToGrid w:val="0"/>
              <w:jc w:val="center"/>
              <w:rPr>
                <w:sz w:val="24"/>
              </w:rPr>
            </w:pPr>
            <w:r>
              <w:rPr>
                <w:sz w:val="24"/>
              </w:rPr>
              <w:t>陕西省</w:t>
            </w:r>
            <w:r>
              <w:rPr>
                <w:rFonts w:hint="eastAsia"/>
                <w:sz w:val="24"/>
              </w:rPr>
              <w:t>西安市灞桥区灞桥街</w:t>
            </w:r>
            <w:r>
              <w:rPr>
                <w:rFonts w:hint="eastAsia"/>
                <w:sz w:val="24"/>
                <w:lang w:val="en-US" w:eastAsia="zh-CN"/>
              </w:rPr>
              <w:t>道</w:t>
            </w:r>
            <w:r>
              <w:rPr>
                <w:rFonts w:hint="eastAsia"/>
                <w:sz w:val="24"/>
                <w:lang w:eastAsia="zh-CN"/>
              </w:rPr>
              <w:t>歇驾寺村</w:t>
            </w:r>
            <w:r>
              <w:rPr>
                <w:rFonts w:hint="eastAsia"/>
                <w:sz w:val="24"/>
              </w:rPr>
              <w:t>6号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2063" w:type="dxa"/>
            <w:tcMar>
              <w:top w:w="16" w:type="dxa"/>
              <w:left w:w="16" w:type="dxa"/>
              <w:right w:w="16" w:type="dxa"/>
            </w:tcMar>
            <w:vAlign w:val="center"/>
          </w:tcPr>
          <w:p>
            <w:pPr>
              <w:adjustRightInd w:val="0"/>
              <w:snapToGrid w:val="0"/>
              <w:jc w:val="center"/>
              <w:rPr>
                <w:sz w:val="24"/>
                <w:highlight w:val="cyan"/>
              </w:rPr>
            </w:pPr>
            <w:r>
              <w:rPr>
                <w:sz w:val="24"/>
              </w:rPr>
              <w:t>地理坐标</w:t>
            </w:r>
          </w:p>
        </w:tc>
        <w:tc>
          <w:tcPr>
            <w:tcW w:w="7019" w:type="dxa"/>
            <w:gridSpan w:val="3"/>
            <w:vAlign w:val="center"/>
          </w:tcPr>
          <w:p>
            <w:pPr>
              <w:jc w:val="center"/>
              <w:rPr>
                <w:sz w:val="24"/>
                <w:highlight w:val="cyan"/>
              </w:rPr>
            </w:pPr>
            <w:r>
              <w:rPr>
                <w:rFonts w:hint="eastAsia" w:ascii="宋体" w:hAnsi="宋体" w:cs="宋体"/>
                <w:color w:val="000000"/>
                <w:sz w:val="24"/>
              </w:rPr>
              <w:t>（东经</w:t>
            </w:r>
            <w:r>
              <w:rPr>
                <w:rFonts w:hint="eastAsia" w:ascii="宋体" w:hAnsi="宋体" w:cs="宋体"/>
                <w:color w:val="000000"/>
                <w:sz w:val="24"/>
                <w:u w:val="single"/>
              </w:rPr>
              <w:t>：</w:t>
            </w:r>
            <w:r>
              <w:rPr>
                <w:rFonts w:ascii="宋体" w:hAnsi="宋体" w:cs="宋体"/>
                <w:color w:val="000000"/>
                <w:sz w:val="24"/>
                <w:u w:val="single"/>
              </w:rPr>
              <w:t xml:space="preserve">109 </w:t>
            </w:r>
            <w:r>
              <w:rPr>
                <w:rFonts w:hint="eastAsia" w:ascii="宋体" w:hAnsi="宋体" w:cs="宋体"/>
                <w:color w:val="000000"/>
                <w:sz w:val="24"/>
              </w:rPr>
              <w:t>度</w:t>
            </w:r>
            <w:r>
              <w:rPr>
                <w:rFonts w:ascii="宋体" w:hAnsi="宋体" w:cs="宋体"/>
                <w:color w:val="000000"/>
                <w:sz w:val="24"/>
                <w:u w:val="single"/>
              </w:rPr>
              <w:t xml:space="preserve">5 </w:t>
            </w:r>
            <w:r>
              <w:rPr>
                <w:rFonts w:hint="eastAsia" w:ascii="宋体" w:hAnsi="宋体" w:cs="宋体"/>
                <w:color w:val="000000"/>
                <w:sz w:val="24"/>
              </w:rPr>
              <w:t>分</w:t>
            </w:r>
            <w:r>
              <w:rPr>
                <w:rFonts w:ascii="宋体" w:hAnsi="宋体" w:cs="宋体"/>
                <w:color w:val="000000"/>
                <w:sz w:val="24"/>
                <w:u w:val="single"/>
              </w:rPr>
              <w:t xml:space="preserve"> 21.628 </w:t>
            </w:r>
            <w:r>
              <w:rPr>
                <w:rFonts w:hint="eastAsia" w:ascii="宋体" w:hAnsi="宋体" w:cs="宋体"/>
                <w:color w:val="000000"/>
                <w:sz w:val="24"/>
              </w:rPr>
              <w:t>秒，北纬：</w:t>
            </w:r>
            <w:r>
              <w:rPr>
                <w:rFonts w:ascii="宋体" w:hAnsi="宋体" w:cs="宋体"/>
                <w:color w:val="000000"/>
                <w:sz w:val="24"/>
                <w:u w:val="single"/>
              </w:rPr>
              <w:t>34</w:t>
            </w:r>
            <w:r>
              <w:rPr>
                <w:rFonts w:hint="eastAsia" w:ascii="宋体" w:hAnsi="宋体" w:cs="宋体"/>
                <w:color w:val="000000"/>
                <w:sz w:val="24"/>
              </w:rPr>
              <w:t>度</w:t>
            </w:r>
            <w:r>
              <w:rPr>
                <w:rFonts w:ascii="宋体" w:hAnsi="宋体" w:cs="宋体"/>
                <w:color w:val="000000"/>
                <w:sz w:val="24"/>
                <w:u w:val="single"/>
              </w:rPr>
              <w:t>20</w:t>
            </w:r>
            <w:r>
              <w:rPr>
                <w:rFonts w:hint="eastAsia" w:ascii="宋体" w:hAnsi="宋体" w:cs="宋体"/>
                <w:color w:val="000000"/>
                <w:sz w:val="24"/>
              </w:rPr>
              <w:t>分</w:t>
            </w:r>
            <w:r>
              <w:rPr>
                <w:rFonts w:ascii="宋体" w:hAnsi="宋体" w:cs="宋体"/>
                <w:color w:val="000000"/>
                <w:sz w:val="24"/>
                <w:u w:val="single"/>
              </w:rPr>
              <w:t xml:space="preserve">13.128 </w:t>
            </w:r>
            <w:r>
              <w:rPr>
                <w:rFonts w:hint="eastAsia" w:ascii="宋体" w:hAnsi="宋体" w:cs="宋体"/>
                <w:color w:val="000000"/>
                <w:sz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2063" w:type="dxa"/>
            <w:tcMar>
              <w:top w:w="16" w:type="dxa"/>
              <w:left w:w="16" w:type="dxa"/>
              <w:right w:w="16" w:type="dxa"/>
            </w:tcMar>
            <w:vAlign w:val="center"/>
          </w:tcPr>
          <w:p>
            <w:pPr>
              <w:adjustRightInd w:val="0"/>
              <w:snapToGrid w:val="0"/>
              <w:jc w:val="center"/>
              <w:rPr>
                <w:sz w:val="24"/>
              </w:rPr>
            </w:pPr>
            <w:r>
              <w:rPr>
                <w:sz w:val="24"/>
              </w:rPr>
              <w:t>国民经济</w:t>
            </w:r>
          </w:p>
          <w:p>
            <w:pPr>
              <w:adjustRightInd w:val="0"/>
              <w:snapToGrid w:val="0"/>
              <w:jc w:val="center"/>
              <w:rPr>
                <w:sz w:val="24"/>
              </w:rPr>
            </w:pPr>
            <w:r>
              <w:rPr>
                <w:sz w:val="24"/>
              </w:rPr>
              <w:t>行业类别</w:t>
            </w:r>
          </w:p>
        </w:tc>
        <w:tc>
          <w:tcPr>
            <w:tcW w:w="2361" w:type="dxa"/>
            <w:vAlign w:val="center"/>
          </w:tcPr>
          <w:p>
            <w:pPr>
              <w:adjustRightInd w:val="0"/>
              <w:snapToGrid w:val="0"/>
              <w:jc w:val="center"/>
              <w:rPr>
                <w:sz w:val="24"/>
              </w:rPr>
            </w:pPr>
            <w:r>
              <w:rPr>
                <w:sz w:val="24"/>
              </w:rPr>
              <w:t>C4220</w:t>
            </w:r>
            <w:r>
              <w:rPr>
                <w:rFonts w:hint="eastAsia"/>
                <w:sz w:val="24"/>
              </w:rPr>
              <w:t>非金属废料和碎屑加工处理</w:t>
            </w:r>
          </w:p>
        </w:tc>
        <w:tc>
          <w:tcPr>
            <w:tcW w:w="1955" w:type="dxa"/>
            <w:vAlign w:val="center"/>
          </w:tcPr>
          <w:p>
            <w:pPr>
              <w:adjustRightInd w:val="0"/>
              <w:snapToGrid w:val="0"/>
              <w:jc w:val="center"/>
              <w:rPr>
                <w:sz w:val="24"/>
              </w:rPr>
            </w:pPr>
            <w:bookmarkStart w:id="4" w:name="_Hlk49843745"/>
            <w:r>
              <w:rPr>
                <w:sz w:val="24"/>
              </w:rPr>
              <w:t>建设项目</w:t>
            </w:r>
          </w:p>
          <w:p>
            <w:pPr>
              <w:adjustRightInd w:val="0"/>
              <w:snapToGrid w:val="0"/>
              <w:jc w:val="center"/>
              <w:rPr>
                <w:sz w:val="24"/>
              </w:rPr>
            </w:pPr>
            <w:r>
              <w:rPr>
                <w:sz w:val="24"/>
              </w:rPr>
              <w:t>行业类别</w:t>
            </w:r>
            <w:bookmarkEnd w:id="4"/>
          </w:p>
        </w:tc>
        <w:tc>
          <w:tcPr>
            <w:tcW w:w="2703" w:type="dxa"/>
            <w:vAlign w:val="center"/>
          </w:tcPr>
          <w:p>
            <w:pPr>
              <w:adjustRightInd w:val="0"/>
              <w:snapToGrid w:val="0"/>
              <w:jc w:val="center"/>
              <w:rPr>
                <w:sz w:val="24"/>
              </w:rPr>
            </w:pPr>
            <w:r>
              <w:rPr>
                <w:rFonts w:hint="eastAsia"/>
                <w:sz w:val="24"/>
              </w:rPr>
              <w:t>三十九</w:t>
            </w:r>
            <w:r>
              <w:rPr>
                <w:sz w:val="24"/>
              </w:rPr>
              <w:t>、</w:t>
            </w:r>
            <w:r>
              <w:rPr>
                <w:rFonts w:hint="eastAsia"/>
                <w:sz w:val="24"/>
              </w:rPr>
              <w:t>废弃资源综合利用业4</w:t>
            </w:r>
            <w:r>
              <w:rPr>
                <w:sz w:val="24"/>
              </w:rPr>
              <w:t>2</w:t>
            </w:r>
            <w:r>
              <w:rPr>
                <w:rFonts w:hint="eastAsia"/>
                <w:sz w:val="24"/>
              </w:rPr>
              <w:t>—8</w:t>
            </w:r>
            <w:r>
              <w:rPr>
                <w:sz w:val="24"/>
              </w:rPr>
              <w:t>5</w:t>
            </w:r>
            <w:r>
              <w:rPr>
                <w:rFonts w:hint="eastAsia"/>
                <w:sz w:val="24"/>
              </w:rPr>
              <w:t>非金属废料和碎屑加工处理4</w:t>
            </w:r>
            <w:r>
              <w:rPr>
                <w:sz w:val="24"/>
              </w:rPr>
              <w:t>22</w:t>
            </w:r>
            <w:r>
              <w:rPr>
                <w:rFonts w:hint="eastAsia"/>
                <w:sz w:val="24"/>
              </w:rPr>
              <w:t>—含水洗工艺的其他废料和碎屑加工处理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063" w:type="dxa"/>
            <w:tcMar>
              <w:top w:w="16" w:type="dxa"/>
              <w:left w:w="16" w:type="dxa"/>
              <w:right w:w="16" w:type="dxa"/>
            </w:tcMar>
            <w:vAlign w:val="center"/>
          </w:tcPr>
          <w:p>
            <w:pPr>
              <w:adjustRightInd w:val="0"/>
              <w:snapToGrid w:val="0"/>
              <w:jc w:val="center"/>
              <w:rPr>
                <w:sz w:val="24"/>
                <w:highlight w:val="cyan"/>
              </w:rPr>
            </w:pPr>
            <w:r>
              <w:rPr>
                <w:sz w:val="24"/>
              </w:rPr>
              <w:t>建设性质</w:t>
            </w:r>
          </w:p>
        </w:tc>
        <w:tc>
          <w:tcPr>
            <w:tcW w:w="2361" w:type="dxa"/>
            <w:vAlign w:val="center"/>
          </w:tcPr>
          <w:p>
            <w:pPr>
              <w:jc w:val="left"/>
              <w:rPr>
                <w:rFonts w:ascii="宋体" w:hAnsi="宋体" w:cs="宋体"/>
                <w:color w:val="000000"/>
                <w:sz w:val="24"/>
              </w:rPr>
            </w:pPr>
            <w:r>
              <w:rPr>
                <w:color w:val="000000"/>
                <w:kern w:val="21"/>
                <w:sz w:val="24"/>
              </w:rPr>
              <w:sym w:font="Wingdings 2" w:char="F052"/>
            </w:r>
            <w:r>
              <w:rPr>
                <w:rFonts w:hint="eastAsia" w:ascii="宋体" w:hAnsi="宋体" w:cs="宋体"/>
                <w:color w:val="000000"/>
                <w:sz w:val="24"/>
              </w:rPr>
              <w:t>新建（迁建）</w:t>
            </w:r>
          </w:p>
          <w:p>
            <w:pPr>
              <w:jc w:val="left"/>
              <w:rPr>
                <w:rFonts w:ascii="宋体" w:hAnsi="宋体" w:cs="宋体"/>
                <w:color w:val="000000"/>
                <w:sz w:val="24"/>
              </w:rPr>
            </w:pPr>
            <w:r>
              <w:rPr>
                <w:rFonts w:hint="eastAsia" w:ascii="宋体" w:hAnsi="宋体" w:cs="宋体"/>
                <w:color w:val="000000"/>
                <w:sz w:val="24"/>
              </w:rPr>
              <w:t>□改建</w:t>
            </w:r>
          </w:p>
          <w:p>
            <w:pPr>
              <w:jc w:val="left"/>
              <w:rPr>
                <w:rFonts w:ascii="宋体" w:hAnsi="宋体" w:cs="宋体"/>
                <w:color w:val="000000"/>
                <w:sz w:val="24"/>
              </w:rPr>
            </w:pPr>
            <w:r>
              <w:rPr>
                <w:rFonts w:hint="eastAsia" w:ascii="宋体" w:hAnsi="宋体" w:cs="宋体"/>
                <w:color w:val="000000"/>
                <w:sz w:val="24"/>
              </w:rPr>
              <w:t>□扩建</w:t>
            </w:r>
          </w:p>
          <w:p>
            <w:pPr>
              <w:jc w:val="left"/>
              <w:rPr>
                <w:sz w:val="24"/>
                <w:highlight w:val="cyan"/>
              </w:rPr>
            </w:pPr>
            <w:r>
              <w:rPr>
                <w:rFonts w:hint="eastAsia" w:ascii="宋体" w:hAnsi="宋体" w:cs="宋体"/>
                <w:color w:val="000000"/>
                <w:sz w:val="24"/>
              </w:rPr>
              <w:t>□技术改造</w:t>
            </w:r>
          </w:p>
        </w:tc>
        <w:tc>
          <w:tcPr>
            <w:tcW w:w="1955" w:type="dxa"/>
            <w:vAlign w:val="center"/>
          </w:tcPr>
          <w:p>
            <w:pPr>
              <w:adjustRightInd w:val="0"/>
              <w:snapToGrid w:val="0"/>
              <w:jc w:val="center"/>
              <w:rPr>
                <w:sz w:val="24"/>
              </w:rPr>
            </w:pPr>
            <w:r>
              <w:rPr>
                <w:sz w:val="24"/>
              </w:rPr>
              <w:t>建设项目</w:t>
            </w:r>
          </w:p>
          <w:p>
            <w:pPr>
              <w:adjustRightInd w:val="0"/>
              <w:snapToGrid w:val="0"/>
              <w:jc w:val="center"/>
              <w:rPr>
                <w:sz w:val="24"/>
                <w:highlight w:val="cyan"/>
              </w:rPr>
            </w:pPr>
            <w:r>
              <w:rPr>
                <w:sz w:val="24"/>
              </w:rPr>
              <w:t>申报情形</w:t>
            </w:r>
          </w:p>
        </w:tc>
        <w:tc>
          <w:tcPr>
            <w:tcW w:w="2703" w:type="dxa"/>
            <w:vAlign w:val="center"/>
          </w:tcPr>
          <w:p>
            <w:pPr>
              <w:jc w:val="left"/>
              <w:rPr>
                <w:rFonts w:ascii="宋体" w:hAnsi="宋体" w:cs="宋体"/>
                <w:color w:val="000000"/>
                <w:sz w:val="24"/>
              </w:rPr>
            </w:pPr>
            <w:r>
              <w:rPr>
                <w:color w:val="000000"/>
                <w:kern w:val="21"/>
                <w:sz w:val="24"/>
              </w:rPr>
              <w:sym w:font="Wingdings 2" w:char="F052"/>
            </w:r>
            <w:r>
              <w:rPr>
                <w:rFonts w:hint="eastAsia" w:ascii="宋体" w:hAnsi="宋体" w:cs="宋体"/>
                <w:color w:val="000000"/>
                <w:sz w:val="24"/>
              </w:rPr>
              <w:t>首次申报项目</w:t>
            </w:r>
            <w:r>
              <w:rPr>
                <w:rFonts w:ascii="宋体" w:hAnsi="宋体" w:cs="宋体"/>
                <w:color w:val="000000"/>
                <w:sz w:val="24"/>
              </w:rPr>
              <w:t xml:space="preserve">             </w:t>
            </w:r>
          </w:p>
          <w:p>
            <w:pPr>
              <w:jc w:val="left"/>
              <w:rPr>
                <w:rFonts w:ascii="宋体" w:hAnsi="宋体" w:cs="宋体"/>
                <w:color w:val="000000"/>
                <w:sz w:val="24"/>
              </w:rPr>
            </w:pPr>
            <w:r>
              <w:rPr>
                <w:rFonts w:hint="eastAsia" w:ascii="宋体" w:hAnsi="宋体" w:cs="宋体"/>
                <w:color w:val="000000"/>
                <w:sz w:val="24"/>
              </w:rPr>
              <w:t>□不予批准后再次申报项目</w:t>
            </w:r>
          </w:p>
          <w:p>
            <w:pPr>
              <w:jc w:val="left"/>
              <w:rPr>
                <w:rFonts w:ascii="宋体" w:hAnsi="宋体" w:cs="宋体"/>
                <w:color w:val="000000"/>
                <w:sz w:val="24"/>
              </w:rPr>
            </w:pPr>
            <w:r>
              <w:rPr>
                <w:rFonts w:hint="eastAsia" w:ascii="宋体" w:hAnsi="宋体" w:cs="宋体"/>
                <w:color w:val="000000"/>
                <w:sz w:val="24"/>
              </w:rPr>
              <w:sym w:font="Wingdings 2" w:char="00A3"/>
            </w:r>
            <w:r>
              <w:rPr>
                <w:rFonts w:hint="eastAsia" w:ascii="宋体" w:hAnsi="宋体" w:cs="宋体"/>
                <w:color w:val="000000"/>
                <w:sz w:val="24"/>
              </w:rPr>
              <w:t>超五年重新审核项目</w:t>
            </w:r>
            <w:r>
              <w:rPr>
                <w:rFonts w:ascii="宋体" w:hAnsi="宋体" w:cs="宋体"/>
                <w:color w:val="000000"/>
                <w:sz w:val="24"/>
              </w:rPr>
              <w:t xml:space="preserve">     </w:t>
            </w:r>
          </w:p>
          <w:p>
            <w:pPr>
              <w:jc w:val="left"/>
              <w:rPr>
                <w:sz w:val="24"/>
                <w:highlight w:val="cyan"/>
              </w:rPr>
            </w:pPr>
            <w:r>
              <w:rPr>
                <w:rFonts w:hint="eastAsia" w:ascii="宋体" w:hAnsi="宋体" w:cs="宋体"/>
                <w:color w:val="000000"/>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063" w:type="dxa"/>
            <w:tcMar>
              <w:top w:w="16" w:type="dxa"/>
              <w:left w:w="16" w:type="dxa"/>
              <w:right w:w="16" w:type="dxa"/>
            </w:tcMar>
            <w:vAlign w:val="center"/>
          </w:tcPr>
          <w:p>
            <w:pPr>
              <w:adjustRightInd w:val="0"/>
              <w:snapToGrid w:val="0"/>
              <w:jc w:val="center"/>
              <w:rPr>
                <w:sz w:val="24"/>
              </w:rPr>
            </w:pPr>
            <w:r>
              <w:rPr>
                <w:sz w:val="24"/>
              </w:rPr>
              <w:t>项目审批（核准/</w:t>
            </w:r>
          </w:p>
          <w:p>
            <w:pPr>
              <w:adjustRightInd w:val="0"/>
              <w:snapToGrid w:val="0"/>
              <w:jc w:val="center"/>
              <w:rPr>
                <w:sz w:val="24"/>
              </w:rPr>
            </w:pPr>
            <w:r>
              <w:rPr>
                <w:sz w:val="24"/>
              </w:rPr>
              <w:t>备案）部门（选填）</w:t>
            </w:r>
          </w:p>
        </w:tc>
        <w:tc>
          <w:tcPr>
            <w:tcW w:w="2361" w:type="dxa"/>
            <w:vAlign w:val="center"/>
          </w:tcPr>
          <w:p>
            <w:pPr>
              <w:adjustRightInd w:val="0"/>
              <w:snapToGrid w:val="0"/>
              <w:jc w:val="center"/>
              <w:rPr>
                <w:sz w:val="24"/>
              </w:rPr>
            </w:pPr>
            <w:r>
              <w:rPr>
                <w:rFonts w:hint="eastAsia"/>
                <w:sz w:val="24"/>
              </w:rPr>
              <w:t>/</w:t>
            </w:r>
          </w:p>
        </w:tc>
        <w:tc>
          <w:tcPr>
            <w:tcW w:w="1955" w:type="dxa"/>
            <w:vAlign w:val="center"/>
          </w:tcPr>
          <w:p>
            <w:pPr>
              <w:adjustRightInd w:val="0"/>
              <w:snapToGrid w:val="0"/>
              <w:jc w:val="center"/>
              <w:rPr>
                <w:sz w:val="24"/>
              </w:rPr>
            </w:pPr>
            <w:r>
              <w:rPr>
                <w:sz w:val="24"/>
              </w:rPr>
              <w:t>项目审批（核准/</w:t>
            </w:r>
          </w:p>
          <w:p>
            <w:pPr>
              <w:adjustRightInd w:val="0"/>
              <w:snapToGrid w:val="0"/>
              <w:jc w:val="center"/>
              <w:rPr>
                <w:sz w:val="24"/>
              </w:rPr>
            </w:pPr>
            <w:r>
              <w:rPr>
                <w:sz w:val="24"/>
              </w:rPr>
              <w:t>备案）文号（选填）</w:t>
            </w:r>
          </w:p>
        </w:tc>
        <w:tc>
          <w:tcPr>
            <w:tcW w:w="2703" w:type="dxa"/>
            <w:vAlign w:val="center"/>
          </w:tcPr>
          <w:p>
            <w:pPr>
              <w:adjustRightInd w:val="0"/>
              <w:snapToGrid w:val="0"/>
              <w:jc w:val="center"/>
              <w:rPr>
                <w:sz w:val="24"/>
              </w:rPr>
            </w:pPr>
            <w:r>
              <w:rPr>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63" w:type="dxa"/>
            <w:tcMar>
              <w:top w:w="16" w:type="dxa"/>
              <w:left w:w="16" w:type="dxa"/>
              <w:right w:w="16" w:type="dxa"/>
            </w:tcMar>
            <w:vAlign w:val="center"/>
          </w:tcPr>
          <w:p>
            <w:pPr>
              <w:adjustRightInd w:val="0"/>
              <w:snapToGrid w:val="0"/>
              <w:jc w:val="center"/>
              <w:rPr>
                <w:sz w:val="24"/>
              </w:rPr>
            </w:pPr>
            <w:r>
              <w:rPr>
                <w:sz w:val="24"/>
              </w:rPr>
              <w:t>总投资（万元）</w:t>
            </w:r>
          </w:p>
        </w:tc>
        <w:tc>
          <w:tcPr>
            <w:tcW w:w="2361" w:type="dxa"/>
            <w:vAlign w:val="center"/>
          </w:tcPr>
          <w:p>
            <w:pPr>
              <w:adjustRightInd w:val="0"/>
              <w:snapToGrid w:val="0"/>
              <w:jc w:val="center"/>
              <w:rPr>
                <w:sz w:val="24"/>
              </w:rPr>
            </w:pPr>
            <w:r>
              <w:rPr>
                <w:sz w:val="24"/>
              </w:rPr>
              <w:t>500</w:t>
            </w:r>
          </w:p>
        </w:tc>
        <w:tc>
          <w:tcPr>
            <w:tcW w:w="1955" w:type="dxa"/>
            <w:tcMar>
              <w:top w:w="16" w:type="dxa"/>
              <w:left w:w="16" w:type="dxa"/>
              <w:right w:w="16" w:type="dxa"/>
            </w:tcMar>
            <w:vAlign w:val="center"/>
          </w:tcPr>
          <w:p>
            <w:pPr>
              <w:adjustRightInd w:val="0"/>
              <w:snapToGrid w:val="0"/>
              <w:jc w:val="center"/>
              <w:rPr>
                <w:sz w:val="24"/>
              </w:rPr>
            </w:pPr>
            <w:r>
              <w:rPr>
                <w:sz w:val="24"/>
              </w:rPr>
              <w:t>环保投资（万元）</w:t>
            </w:r>
          </w:p>
        </w:tc>
        <w:tc>
          <w:tcPr>
            <w:tcW w:w="2703" w:type="dxa"/>
            <w:vAlign w:val="center"/>
          </w:tcPr>
          <w:p>
            <w:pPr>
              <w:adjustRightInd w:val="0"/>
              <w:snapToGrid w:val="0"/>
              <w:jc w:val="center"/>
              <w:rPr>
                <w:sz w:val="24"/>
              </w:rPr>
            </w:pPr>
            <w:r>
              <w:rPr>
                <w:sz w:val="24"/>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063" w:type="dxa"/>
            <w:tcMar>
              <w:top w:w="16" w:type="dxa"/>
              <w:left w:w="16" w:type="dxa"/>
              <w:right w:w="16" w:type="dxa"/>
            </w:tcMar>
            <w:vAlign w:val="center"/>
          </w:tcPr>
          <w:p>
            <w:pPr>
              <w:adjustRightInd w:val="0"/>
              <w:snapToGrid w:val="0"/>
              <w:jc w:val="center"/>
              <w:rPr>
                <w:sz w:val="24"/>
              </w:rPr>
            </w:pPr>
            <w:r>
              <w:rPr>
                <w:sz w:val="24"/>
              </w:rPr>
              <w:t>环保投资占比（%）</w:t>
            </w:r>
          </w:p>
        </w:tc>
        <w:tc>
          <w:tcPr>
            <w:tcW w:w="2361" w:type="dxa"/>
            <w:vAlign w:val="center"/>
          </w:tcPr>
          <w:p>
            <w:pPr>
              <w:adjustRightInd w:val="0"/>
              <w:snapToGrid w:val="0"/>
              <w:jc w:val="center"/>
              <w:rPr>
                <w:sz w:val="24"/>
              </w:rPr>
            </w:pPr>
            <w:r>
              <w:rPr>
                <w:sz w:val="24"/>
              </w:rPr>
              <w:t>7</w:t>
            </w:r>
          </w:p>
        </w:tc>
        <w:tc>
          <w:tcPr>
            <w:tcW w:w="1955" w:type="dxa"/>
            <w:tcMar>
              <w:top w:w="16" w:type="dxa"/>
              <w:left w:w="16" w:type="dxa"/>
              <w:right w:w="16" w:type="dxa"/>
            </w:tcMar>
            <w:vAlign w:val="center"/>
          </w:tcPr>
          <w:p>
            <w:pPr>
              <w:adjustRightInd w:val="0"/>
              <w:snapToGrid w:val="0"/>
              <w:jc w:val="center"/>
              <w:rPr>
                <w:sz w:val="24"/>
              </w:rPr>
            </w:pPr>
            <w:r>
              <w:rPr>
                <w:sz w:val="24"/>
              </w:rPr>
              <w:t>施工工期</w:t>
            </w:r>
          </w:p>
        </w:tc>
        <w:tc>
          <w:tcPr>
            <w:tcW w:w="2703" w:type="dxa"/>
            <w:vAlign w:val="center"/>
          </w:tcPr>
          <w:p>
            <w:pPr>
              <w:adjustRightInd w:val="0"/>
              <w:snapToGrid w:val="0"/>
              <w:jc w:val="center"/>
              <w:rPr>
                <w:sz w:val="24"/>
              </w:rPr>
            </w:pPr>
            <w:r>
              <w:rPr>
                <w:sz w:val="24"/>
              </w:rPr>
              <w:t>2</w:t>
            </w:r>
            <w:r>
              <w:rPr>
                <w:rFonts w:hint="eastAsia"/>
                <w:sz w:val="24"/>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76" w:hRule="atLeast"/>
          <w:jc w:val="center"/>
        </w:trPr>
        <w:tc>
          <w:tcPr>
            <w:tcW w:w="2063" w:type="dxa"/>
            <w:tcMar>
              <w:top w:w="16" w:type="dxa"/>
              <w:left w:w="16" w:type="dxa"/>
              <w:right w:w="16" w:type="dxa"/>
            </w:tcMar>
            <w:vAlign w:val="center"/>
          </w:tcPr>
          <w:p>
            <w:pPr>
              <w:adjustRightInd w:val="0"/>
              <w:snapToGrid w:val="0"/>
              <w:jc w:val="center"/>
              <w:rPr>
                <w:sz w:val="24"/>
              </w:rPr>
            </w:pPr>
            <w:r>
              <w:rPr>
                <w:sz w:val="24"/>
              </w:rPr>
              <w:t>是否开工建设</w:t>
            </w:r>
          </w:p>
        </w:tc>
        <w:tc>
          <w:tcPr>
            <w:tcW w:w="2361" w:type="dxa"/>
            <w:vAlign w:val="center"/>
          </w:tcPr>
          <w:p>
            <w:pPr>
              <w:adjustRightInd w:val="0"/>
              <w:snapToGrid w:val="0"/>
              <w:rPr>
                <w:sz w:val="24"/>
              </w:rPr>
            </w:pPr>
            <w:r>
              <w:rPr>
                <w:sz w:val="24"/>
              </w:rPr>
              <w:sym w:font="Wingdings 2" w:char="0052"/>
            </w:r>
            <w:r>
              <w:rPr>
                <w:sz w:val="24"/>
              </w:rPr>
              <w:t>否</w:t>
            </w:r>
          </w:p>
          <w:p>
            <w:pPr>
              <w:adjustRightInd w:val="0"/>
              <w:snapToGrid w:val="0"/>
              <w:rPr>
                <w:sz w:val="24"/>
              </w:rPr>
            </w:pPr>
            <w:r>
              <w:rPr>
                <w:sz w:val="24"/>
              </w:rPr>
              <w:sym w:font="Wingdings 2" w:char="00A3"/>
            </w:r>
            <w:r>
              <w:rPr>
                <w:sz w:val="24"/>
              </w:rPr>
              <w:t>是：</w:t>
            </w:r>
            <w:r>
              <w:rPr>
                <w:rFonts w:hint="eastAsia" w:ascii="宋体" w:hAnsi="宋体" w:cs="宋体"/>
                <w:sz w:val="24"/>
                <w:u w:val="single"/>
              </w:rPr>
              <w:t xml:space="preserve"> </w:t>
            </w:r>
            <w:r>
              <w:rPr>
                <w:rFonts w:ascii="宋体" w:hAnsi="宋体" w:cs="宋体"/>
                <w:sz w:val="24"/>
                <w:u w:val="single"/>
              </w:rPr>
              <w:t xml:space="preserve">      </w:t>
            </w:r>
          </w:p>
        </w:tc>
        <w:tc>
          <w:tcPr>
            <w:tcW w:w="1955" w:type="dxa"/>
            <w:tcMar>
              <w:top w:w="16" w:type="dxa"/>
              <w:left w:w="16" w:type="dxa"/>
              <w:right w:w="16" w:type="dxa"/>
            </w:tcMar>
            <w:vAlign w:val="center"/>
          </w:tcPr>
          <w:p>
            <w:pPr>
              <w:adjustRightInd w:val="0"/>
              <w:snapToGrid w:val="0"/>
              <w:jc w:val="center"/>
              <w:rPr>
                <w:spacing w:val="-6"/>
                <w:sz w:val="24"/>
              </w:rPr>
            </w:pPr>
            <w:r>
              <w:rPr>
                <w:spacing w:val="-6"/>
                <w:sz w:val="24"/>
              </w:rPr>
              <w:t>用地面积（m</w:t>
            </w:r>
            <w:r>
              <w:rPr>
                <w:spacing w:val="-6"/>
                <w:sz w:val="24"/>
                <w:vertAlign w:val="superscript"/>
              </w:rPr>
              <w:t>2</w:t>
            </w:r>
            <w:r>
              <w:rPr>
                <w:spacing w:val="-6"/>
                <w:sz w:val="24"/>
              </w:rPr>
              <w:t>）</w:t>
            </w:r>
          </w:p>
        </w:tc>
        <w:tc>
          <w:tcPr>
            <w:tcW w:w="2703" w:type="dxa"/>
            <w:vAlign w:val="center"/>
          </w:tcPr>
          <w:p>
            <w:pPr>
              <w:adjustRightInd w:val="0"/>
              <w:snapToGrid w:val="0"/>
              <w:jc w:val="center"/>
              <w:rPr>
                <w:sz w:val="24"/>
              </w:rPr>
            </w:pPr>
            <w:r>
              <w:rPr>
                <w:sz w:val="24"/>
              </w:rPr>
              <w:t>4333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063" w:type="dxa"/>
            <w:vAlign w:val="center"/>
          </w:tcPr>
          <w:p>
            <w:pPr>
              <w:autoSpaceDE w:val="0"/>
              <w:autoSpaceDN w:val="0"/>
              <w:adjustRightInd w:val="0"/>
              <w:snapToGrid w:val="0"/>
              <w:jc w:val="center"/>
              <w:rPr>
                <w:kern w:val="0"/>
                <w:sz w:val="24"/>
              </w:rPr>
            </w:pPr>
            <w:r>
              <w:rPr>
                <w:kern w:val="0"/>
                <w:sz w:val="24"/>
              </w:rPr>
              <w:t>专项评价设置情况</w:t>
            </w:r>
          </w:p>
        </w:tc>
        <w:tc>
          <w:tcPr>
            <w:tcW w:w="7019" w:type="dxa"/>
            <w:gridSpan w:val="3"/>
            <w:vAlign w:val="center"/>
          </w:tcPr>
          <w:p>
            <w:pPr>
              <w:autoSpaceDE w:val="0"/>
              <w:autoSpaceDN w:val="0"/>
              <w:jc w:val="center"/>
              <w:rPr>
                <w:kern w:val="0"/>
                <w:sz w:val="24"/>
              </w:rPr>
            </w:pPr>
            <w:r>
              <w:rPr>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063" w:type="dxa"/>
            <w:vAlign w:val="center"/>
          </w:tcPr>
          <w:p>
            <w:pPr>
              <w:autoSpaceDE w:val="0"/>
              <w:autoSpaceDN w:val="0"/>
              <w:adjustRightInd w:val="0"/>
              <w:snapToGrid w:val="0"/>
              <w:jc w:val="center"/>
              <w:rPr>
                <w:kern w:val="0"/>
                <w:sz w:val="24"/>
              </w:rPr>
            </w:pPr>
            <w:r>
              <w:rPr>
                <w:sz w:val="24"/>
              </w:rPr>
              <w:t>规划情况</w:t>
            </w:r>
          </w:p>
        </w:tc>
        <w:tc>
          <w:tcPr>
            <w:tcW w:w="7019" w:type="dxa"/>
            <w:gridSpan w:val="3"/>
            <w:vAlign w:val="center"/>
          </w:tcPr>
          <w:p>
            <w:pPr>
              <w:jc w:val="center"/>
              <w:rPr>
                <w:kern w:val="0"/>
                <w:sz w:val="24"/>
              </w:rPr>
            </w:pPr>
            <w:r>
              <w:rPr>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063" w:type="dxa"/>
            <w:vAlign w:val="center"/>
          </w:tcPr>
          <w:p>
            <w:pPr>
              <w:adjustRightInd w:val="0"/>
              <w:snapToGrid w:val="0"/>
              <w:jc w:val="center"/>
              <w:rPr>
                <w:sz w:val="24"/>
              </w:rPr>
            </w:pPr>
            <w:r>
              <w:rPr>
                <w:sz w:val="24"/>
              </w:rPr>
              <w:t>规划环境影响</w:t>
            </w:r>
          </w:p>
          <w:p>
            <w:pPr>
              <w:adjustRightInd w:val="0"/>
              <w:snapToGrid w:val="0"/>
              <w:jc w:val="center"/>
              <w:rPr>
                <w:kern w:val="0"/>
                <w:sz w:val="24"/>
              </w:rPr>
            </w:pPr>
            <w:r>
              <w:rPr>
                <w:sz w:val="24"/>
              </w:rPr>
              <w:t>评价情况</w:t>
            </w:r>
          </w:p>
        </w:tc>
        <w:tc>
          <w:tcPr>
            <w:tcW w:w="7019" w:type="dxa"/>
            <w:gridSpan w:val="3"/>
            <w:vAlign w:val="center"/>
          </w:tcPr>
          <w:p>
            <w:pPr>
              <w:jc w:val="center"/>
              <w:rPr>
                <w:kern w:val="0"/>
                <w:sz w:val="24"/>
              </w:rPr>
            </w:pPr>
            <w:r>
              <w:rPr>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063" w:type="dxa"/>
            <w:vAlign w:val="center"/>
          </w:tcPr>
          <w:p>
            <w:pPr>
              <w:autoSpaceDE w:val="0"/>
              <w:autoSpaceDN w:val="0"/>
              <w:adjustRightInd w:val="0"/>
              <w:snapToGrid w:val="0"/>
              <w:jc w:val="center"/>
              <w:rPr>
                <w:kern w:val="0"/>
                <w:sz w:val="24"/>
              </w:rPr>
            </w:pPr>
            <w:r>
              <w:rPr>
                <w:kern w:val="0"/>
                <w:sz w:val="24"/>
              </w:rPr>
              <w:t>规划及规划环境</w:t>
            </w:r>
          </w:p>
          <w:p>
            <w:pPr>
              <w:autoSpaceDE w:val="0"/>
              <w:autoSpaceDN w:val="0"/>
              <w:adjustRightInd w:val="0"/>
              <w:snapToGrid w:val="0"/>
              <w:jc w:val="center"/>
              <w:rPr>
                <w:kern w:val="0"/>
                <w:sz w:val="24"/>
              </w:rPr>
            </w:pPr>
            <w:r>
              <w:rPr>
                <w:kern w:val="0"/>
                <w:sz w:val="24"/>
              </w:rPr>
              <w:t>影响评价符合性分析</w:t>
            </w:r>
          </w:p>
        </w:tc>
        <w:tc>
          <w:tcPr>
            <w:tcW w:w="7019" w:type="dxa"/>
            <w:gridSpan w:val="3"/>
            <w:vAlign w:val="center"/>
          </w:tcPr>
          <w:p>
            <w:pPr>
              <w:autoSpaceDE w:val="0"/>
              <w:autoSpaceDN w:val="0"/>
              <w:jc w:val="center"/>
              <w:rPr>
                <w:kern w:val="0"/>
                <w:sz w:val="24"/>
              </w:rPr>
            </w:pPr>
            <w:r>
              <w:rPr>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49" w:hRule="atLeast"/>
          <w:jc w:val="center"/>
        </w:trPr>
        <w:tc>
          <w:tcPr>
            <w:tcW w:w="2063" w:type="dxa"/>
            <w:vAlign w:val="center"/>
          </w:tcPr>
          <w:p>
            <w:pPr>
              <w:autoSpaceDE w:val="0"/>
              <w:autoSpaceDN w:val="0"/>
              <w:adjustRightInd w:val="0"/>
              <w:snapToGrid w:val="0"/>
              <w:jc w:val="center"/>
              <w:rPr>
                <w:kern w:val="0"/>
                <w:sz w:val="24"/>
                <w:highlight w:val="cyan"/>
              </w:rPr>
            </w:pPr>
            <w:r>
              <w:rPr>
                <w:kern w:val="0"/>
                <w:sz w:val="24"/>
              </w:rPr>
              <w:t>其他符合性分析</w:t>
            </w:r>
          </w:p>
        </w:tc>
        <w:tc>
          <w:tcPr>
            <w:tcW w:w="7019" w:type="dxa"/>
            <w:gridSpan w:val="3"/>
            <w:vAlign w:val="center"/>
          </w:tcPr>
          <w:p>
            <w:pPr>
              <w:adjustRightInd w:val="0"/>
              <w:snapToGrid w:val="0"/>
              <w:spacing w:before="120" w:beforeLines="50" w:line="360" w:lineRule="auto"/>
              <w:ind w:firstLine="482" w:firstLineChars="200"/>
              <w:rPr>
                <w:b/>
                <w:bCs/>
                <w:snapToGrid w:val="0"/>
                <w:kern w:val="0"/>
                <w:sz w:val="24"/>
              </w:rPr>
            </w:pPr>
            <w:r>
              <w:rPr>
                <w:b/>
                <w:bCs/>
                <w:snapToGrid w:val="0"/>
                <w:kern w:val="0"/>
                <w:sz w:val="24"/>
              </w:rPr>
              <w:t>1.1 产业政策符合性</w:t>
            </w:r>
          </w:p>
          <w:p>
            <w:pPr>
              <w:spacing w:line="360" w:lineRule="auto"/>
              <w:ind w:firstLine="480" w:firstLineChars="200"/>
              <w:rPr>
                <w:sz w:val="24"/>
              </w:rPr>
            </w:pPr>
            <w:r>
              <w:rPr>
                <w:sz w:val="24"/>
              </w:rPr>
              <w:t>根据《产业结构调整指导目录（2019年本）》，本项目</w:t>
            </w:r>
            <w:r>
              <w:rPr>
                <w:rFonts w:hint="eastAsia"/>
                <w:sz w:val="24"/>
              </w:rPr>
              <w:t>属于“第一类、鼓励</w:t>
            </w:r>
            <w:r>
              <w:rPr>
                <w:sz w:val="24"/>
              </w:rPr>
              <w:t>类</w:t>
            </w:r>
            <w:r>
              <w:rPr>
                <w:rFonts w:hint="eastAsia"/>
                <w:sz w:val="24"/>
              </w:rPr>
              <w:t>”中“十二、建材、11利用矿山尾矿、建筑废弃物、工业废弃物、江河湖（渠）</w:t>
            </w:r>
            <w:r>
              <w:rPr>
                <w:sz w:val="24"/>
              </w:rPr>
              <w:t>海淤泥以及农林剩余物等二次资源生产建材及其工艺技术装备开发</w:t>
            </w:r>
            <w:r>
              <w:rPr>
                <w:rFonts w:hint="eastAsia"/>
                <w:sz w:val="24"/>
              </w:rPr>
              <w:t>”，属于鼓励类；项目不属于《市场准入负面清单（2022年版）》（发改体改规〔2022〕397号）中禁止准入类及许可准入类事项，故符合国家产业政策。</w:t>
            </w:r>
          </w:p>
          <w:p>
            <w:pPr>
              <w:spacing w:line="360" w:lineRule="auto"/>
              <w:ind w:firstLine="480" w:firstLineChars="200"/>
              <w:rPr>
                <w:sz w:val="24"/>
              </w:rPr>
            </w:pPr>
            <w:r>
              <w:rPr>
                <w:rFonts w:hint="eastAsia"/>
                <w:sz w:val="24"/>
              </w:rPr>
              <w:t>根据《陕西省限制投资类产业指导目录》（陕发改产业［2007］97号），本项目不属于限制投资类项目。</w:t>
            </w:r>
          </w:p>
          <w:p>
            <w:pPr>
              <w:spacing w:line="360" w:lineRule="auto"/>
              <w:ind w:firstLine="480" w:firstLineChars="200"/>
              <w:rPr>
                <w:sz w:val="24"/>
              </w:rPr>
            </w:pPr>
            <w:r>
              <w:rPr>
                <w:rFonts w:hint="eastAsia"/>
                <w:sz w:val="24"/>
              </w:rPr>
              <w:t>综上所述，本项目的建设符合国家和地方政策。</w:t>
            </w:r>
          </w:p>
          <w:p>
            <w:pPr>
              <w:adjustRightInd w:val="0"/>
              <w:snapToGrid w:val="0"/>
              <w:spacing w:line="360" w:lineRule="auto"/>
              <w:ind w:firstLine="482" w:firstLineChars="200"/>
              <w:rPr>
                <w:b/>
                <w:sz w:val="24"/>
              </w:rPr>
            </w:pPr>
            <w:r>
              <w:rPr>
                <w:b/>
                <w:sz w:val="24"/>
              </w:rPr>
              <w:t xml:space="preserve">1.2 </w:t>
            </w:r>
            <w:r>
              <w:rPr>
                <w:rFonts w:hint="eastAsia"/>
                <w:b/>
                <w:sz w:val="24"/>
              </w:rPr>
              <w:t>与“三线一单”的相符性</w:t>
            </w:r>
          </w:p>
          <w:p>
            <w:pPr>
              <w:spacing w:line="360" w:lineRule="auto"/>
              <w:ind w:firstLine="480" w:firstLineChars="200"/>
              <w:rPr>
                <w:sz w:val="24"/>
              </w:rPr>
            </w:pPr>
            <w:r>
              <w:rPr>
                <w:rFonts w:hint="eastAsia"/>
                <w:sz w:val="24"/>
              </w:rPr>
              <w:t>根据《关于以改善环境质量为核心加强环境影响评价管理的通知》（环评〔2016〕150号）、《陕西省人民政府关于加快实施“三线一单”生态环境分区管控的意见》（陕政发〔2020〕11号）以及西安市人民政府《关于印发“三线一单”生态环境分区管控方案的通知》（市政发〔2021〕22 号），本项目“三线一单”符合情况见表1-</w:t>
            </w:r>
            <w:r>
              <w:rPr>
                <w:sz w:val="24"/>
              </w:rPr>
              <w:t>1</w:t>
            </w:r>
            <w:r>
              <w:rPr>
                <w:rFonts w:hint="eastAsia"/>
                <w:sz w:val="24"/>
              </w:rPr>
              <w:t>。</w:t>
            </w:r>
          </w:p>
          <w:p>
            <w:pPr>
              <w:adjustRightInd w:val="0"/>
              <w:snapToGrid w:val="0"/>
              <w:ind w:left="1890"/>
              <w:rPr>
                <w:b/>
                <w:szCs w:val="21"/>
              </w:rPr>
            </w:pPr>
            <w:r>
              <w:rPr>
                <w:rFonts w:hint="eastAsia"/>
                <w:b/>
                <w:szCs w:val="21"/>
              </w:rPr>
              <w:t>表1</w:t>
            </w:r>
            <w:r>
              <w:rPr>
                <w:b/>
                <w:szCs w:val="21"/>
              </w:rPr>
              <w:t>-1  本项目与</w:t>
            </w:r>
            <w:r>
              <w:rPr>
                <w:rFonts w:hint="eastAsia"/>
                <w:b/>
                <w:szCs w:val="21"/>
                <w:lang w:val="en-GB"/>
              </w:rPr>
              <w:t>“三线一单”</w:t>
            </w:r>
            <w:r>
              <w:rPr>
                <w:b/>
                <w:szCs w:val="21"/>
              </w:rPr>
              <w:t>的符合性</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861"/>
              <w:gridCol w:w="2704"/>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0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kern w:val="0"/>
                      <w:szCs w:val="20"/>
                    </w:rPr>
                  </w:pPr>
                  <w:r>
                    <w:rPr>
                      <w:b/>
                      <w:kern w:val="0"/>
                      <w:szCs w:val="20"/>
                    </w:rPr>
                    <w:t>“</w:t>
                  </w:r>
                  <w:r>
                    <w:rPr>
                      <w:rFonts w:hint="eastAsia"/>
                      <w:b/>
                      <w:kern w:val="0"/>
                      <w:szCs w:val="20"/>
                    </w:rPr>
                    <w:t>三线一单</w:t>
                  </w:r>
                  <w:r>
                    <w:rPr>
                      <w:b/>
                      <w:kern w:val="0"/>
                      <w:szCs w:val="20"/>
                    </w:rPr>
                    <w:t>”</w:t>
                  </w:r>
                </w:p>
              </w:tc>
              <w:tc>
                <w:tcPr>
                  <w:tcW w:w="336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kern w:val="0"/>
                      <w:szCs w:val="20"/>
                    </w:rPr>
                  </w:pPr>
                  <w:r>
                    <w:rPr>
                      <w:rFonts w:hint="eastAsia"/>
                      <w:b/>
                      <w:kern w:val="0"/>
                      <w:szCs w:val="20"/>
                    </w:rPr>
                    <w:t>项目情况</w:t>
                  </w:r>
                </w:p>
              </w:tc>
              <w:tc>
                <w:tcPr>
                  <w:tcW w:w="6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kern w:val="0"/>
                      <w:szCs w:val="20"/>
                    </w:rPr>
                  </w:pPr>
                  <w:r>
                    <w:rPr>
                      <w:rFonts w:hint="eastAsia"/>
                      <w:b/>
                      <w:kern w:val="0"/>
                      <w:szCs w:val="20"/>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00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kern w:val="0"/>
                      <w:szCs w:val="20"/>
                    </w:rPr>
                  </w:pPr>
                  <w:r>
                    <w:rPr>
                      <w:rFonts w:hint="eastAsia"/>
                      <w:bCs/>
                      <w:kern w:val="0"/>
                      <w:szCs w:val="20"/>
                    </w:rPr>
                    <w:t>生态保护红线</w:t>
                  </w:r>
                </w:p>
              </w:tc>
              <w:tc>
                <w:tcPr>
                  <w:tcW w:w="336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kern w:val="0"/>
                      <w:szCs w:val="20"/>
                    </w:rPr>
                  </w:pPr>
                  <w:r>
                    <w:rPr>
                      <w:rFonts w:hint="eastAsia"/>
                      <w:szCs w:val="21"/>
                    </w:rPr>
                    <w:t>对比陕西省及西安市生态环境管控单元分布图，本项目所在区域不涉及生态保护红线。</w:t>
                  </w:r>
                </w:p>
              </w:tc>
              <w:tc>
                <w:tcPr>
                  <w:tcW w:w="6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kern w:val="0"/>
                      <w:szCs w:val="20"/>
                    </w:rPr>
                  </w:pPr>
                  <w:r>
                    <w:rPr>
                      <w:rFonts w:hint="eastAsia"/>
                      <w:bCs/>
                      <w:kern w:val="0"/>
                      <w:szCs w:val="2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0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kern w:val="0"/>
                      <w:szCs w:val="20"/>
                    </w:rPr>
                  </w:pPr>
                  <w:r>
                    <w:rPr>
                      <w:rFonts w:hint="eastAsia"/>
                      <w:bCs/>
                      <w:kern w:val="0"/>
                      <w:szCs w:val="20"/>
                    </w:rPr>
                    <w:t>环境质量底线</w:t>
                  </w:r>
                </w:p>
              </w:tc>
              <w:tc>
                <w:tcPr>
                  <w:tcW w:w="336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kern w:val="0"/>
                      <w:szCs w:val="20"/>
                    </w:rPr>
                  </w:pPr>
                  <w:r>
                    <w:rPr>
                      <w:rFonts w:hint="eastAsia"/>
                      <w:kern w:val="0"/>
                      <w:szCs w:val="21"/>
                    </w:rPr>
                    <w:t>本项目所在区域空气质量为《环境空气质量标准》（</w:t>
                  </w:r>
                  <w:r>
                    <w:rPr>
                      <w:kern w:val="0"/>
                      <w:szCs w:val="21"/>
                    </w:rPr>
                    <w:t>GB3095-2012</w:t>
                  </w:r>
                  <w:r>
                    <w:rPr>
                      <w:rFonts w:hint="eastAsia"/>
                      <w:kern w:val="0"/>
                      <w:szCs w:val="21"/>
                    </w:rPr>
                    <w:t>）二级，声环境质量为《声环境质量标准》（</w:t>
                  </w:r>
                  <w:r>
                    <w:rPr>
                      <w:kern w:val="0"/>
                      <w:szCs w:val="21"/>
                    </w:rPr>
                    <w:t>GB3096-2008</w:t>
                  </w:r>
                  <w:r>
                    <w:rPr>
                      <w:rFonts w:hint="eastAsia"/>
                      <w:kern w:val="0"/>
                      <w:szCs w:val="21"/>
                    </w:rPr>
                    <w:t>）</w:t>
                  </w:r>
                  <w:r>
                    <w:rPr>
                      <w:kern w:val="0"/>
                      <w:szCs w:val="21"/>
                    </w:rPr>
                    <w:t>2</w:t>
                  </w:r>
                  <w:r>
                    <w:rPr>
                      <w:rFonts w:hint="eastAsia"/>
                      <w:kern w:val="0"/>
                      <w:szCs w:val="21"/>
                    </w:rPr>
                    <w:t>类。根据环境影响分析，项目施工期、运行期产生的废气、废水、噪声、固体废弃物等，采取相应环保措施后，对环境影响较小。</w:t>
                  </w:r>
                </w:p>
              </w:tc>
              <w:tc>
                <w:tcPr>
                  <w:tcW w:w="6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kern w:val="0"/>
                      <w:szCs w:val="20"/>
                    </w:rPr>
                  </w:pPr>
                  <w:r>
                    <w:rPr>
                      <w:rFonts w:hint="eastAsia"/>
                      <w:bCs/>
                      <w:kern w:val="0"/>
                      <w:szCs w:val="2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00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kern w:val="0"/>
                      <w:szCs w:val="20"/>
                    </w:rPr>
                  </w:pPr>
                  <w:r>
                    <w:rPr>
                      <w:rFonts w:hint="eastAsia"/>
                      <w:bCs/>
                      <w:kern w:val="0"/>
                      <w:szCs w:val="20"/>
                    </w:rPr>
                    <w:t>资源利用上线</w:t>
                  </w:r>
                </w:p>
              </w:tc>
              <w:tc>
                <w:tcPr>
                  <w:tcW w:w="336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kern w:val="0"/>
                      <w:szCs w:val="20"/>
                    </w:rPr>
                  </w:pPr>
                  <w:r>
                    <w:rPr>
                      <w:rFonts w:hint="eastAsia"/>
                      <w:kern w:val="0"/>
                      <w:szCs w:val="21"/>
                    </w:rPr>
                    <w:t>项目不属于高耗能行业，主要消耗为电、水，且消耗量很少。项目建设符合资源利用上线要求。</w:t>
                  </w:r>
                </w:p>
              </w:tc>
              <w:tc>
                <w:tcPr>
                  <w:tcW w:w="6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kern w:val="0"/>
                      <w:szCs w:val="20"/>
                    </w:rPr>
                  </w:pPr>
                  <w:r>
                    <w:rPr>
                      <w:rFonts w:hint="eastAsia"/>
                      <w:bCs/>
                      <w:kern w:val="0"/>
                      <w:szCs w:val="2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00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kern w:val="0"/>
                      <w:szCs w:val="20"/>
                    </w:rPr>
                  </w:pPr>
                  <w:r>
                    <w:rPr>
                      <w:rFonts w:hint="eastAsia"/>
                      <w:bCs/>
                      <w:kern w:val="0"/>
                      <w:szCs w:val="20"/>
                    </w:rPr>
                    <w:t>负面清单</w:t>
                  </w:r>
                </w:p>
              </w:tc>
              <w:tc>
                <w:tcPr>
                  <w:tcW w:w="336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kern w:val="0"/>
                      <w:szCs w:val="20"/>
                    </w:rPr>
                  </w:pPr>
                  <w:r>
                    <w:rPr>
                      <w:rFonts w:hint="eastAsia"/>
                      <w:kern w:val="0"/>
                      <w:szCs w:val="21"/>
                    </w:rPr>
                    <w:t>对照《陕西省国家重点生态功能区产业准入负面清单</w:t>
                  </w:r>
                  <w:r>
                    <w:rPr>
                      <w:kern w:val="0"/>
                      <w:szCs w:val="21"/>
                    </w:rPr>
                    <w:t>(</w:t>
                  </w:r>
                  <w:r>
                    <w:rPr>
                      <w:rFonts w:hint="eastAsia"/>
                      <w:kern w:val="0"/>
                      <w:szCs w:val="21"/>
                    </w:rPr>
                    <w:t>试行</w:t>
                  </w:r>
                  <w:r>
                    <w:rPr>
                      <w:kern w:val="0"/>
                      <w:szCs w:val="21"/>
                    </w:rPr>
                    <w:t>)</w:t>
                  </w:r>
                  <w:r>
                    <w:rPr>
                      <w:rFonts w:hint="eastAsia"/>
                      <w:kern w:val="0"/>
                      <w:szCs w:val="21"/>
                    </w:rPr>
                    <w:t>》，本项目不属于陕西省国家重点生态功能区产业准入负面清单（第一批、第二批）。</w:t>
                  </w:r>
                </w:p>
              </w:tc>
              <w:tc>
                <w:tcPr>
                  <w:tcW w:w="6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kern w:val="0"/>
                      <w:szCs w:val="20"/>
                    </w:rPr>
                  </w:pPr>
                  <w:r>
                    <w:rPr>
                      <w:rFonts w:hint="eastAsia"/>
                      <w:bCs/>
                      <w:kern w:val="0"/>
                      <w:szCs w:val="2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36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rPr>
                  </w:pPr>
                  <w:r>
                    <w:rPr>
                      <w:rFonts w:hint="eastAsia"/>
                      <w:b/>
                      <w:szCs w:val="21"/>
                    </w:rPr>
                    <w:t>《陕西省人民政府关于加快实施“三线一单”生态环境分区管控的意见》</w:t>
                  </w:r>
                </w:p>
              </w:tc>
              <w:tc>
                <w:tcPr>
                  <w:tcW w:w="634"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rPr>
                  </w:pPr>
                  <w:r>
                    <w:rPr>
                      <w:rFonts w:hint="eastAsia"/>
                      <w:bCs/>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2374"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rPr>
                  </w:pPr>
                  <w:r>
                    <w:rPr>
                      <w:rFonts w:hint="eastAsia"/>
                      <w:bCs/>
                      <w:szCs w:val="21"/>
                      <w:shd w:val="clear" w:color="auto" w:fill="FFFFFF"/>
                    </w:rPr>
                    <w:t>重点管控单元以提升资源利用效率、加强污染物减排治理和环境风险防控为重点，解决突出生态环境问题。</w:t>
                  </w:r>
                </w:p>
              </w:tc>
              <w:tc>
                <w:tcPr>
                  <w:tcW w:w="1992" w:type="pct"/>
                  <w:tcBorders>
                    <w:top w:val="single" w:color="auto" w:sz="4" w:space="0"/>
                    <w:left w:val="single" w:color="auto" w:sz="4" w:space="0"/>
                    <w:bottom w:val="single" w:color="auto" w:sz="4" w:space="0"/>
                    <w:right w:val="single" w:color="auto" w:sz="4" w:space="0"/>
                  </w:tcBorders>
                  <w:vAlign w:val="center"/>
                </w:tcPr>
                <w:p>
                  <w:pPr>
                    <w:adjustRightInd w:val="0"/>
                    <w:snapToGrid w:val="0"/>
                    <w:rPr>
                      <w:bCs/>
                    </w:rPr>
                  </w:pPr>
                  <w:r>
                    <w:rPr>
                      <w:rFonts w:hint="eastAsia"/>
                      <w:bCs/>
                      <w:szCs w:val="21"/>
                      <w:shd w:val="clear" w:color="auto" w:fill="FFFFFF"/>
                    </w:rPr>
                    <w:t>项目所在区域属于重点管控单元。</w:t>
                  </w:r>
                  <w:r>
                    <w:rPr>
                      <w:rFonts w:hint="eastAsia"/>
                      <w:bCs/>
                      <w:szCs w:val="21"/>
                    </w:rPr>
                    <w:t>本项目污染物较少，且均采取有效措施，可有效防控环境风险。</w:t>
                  </w:r>
                </w:p>
              </w:tc>
              <w:tc>
                <w:tcPr>
                  <w:tcW w:w="63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bCs/>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36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zCs w:val="21"/>
                    </w:rPr>
                  </w:pPr>
                  <w:r>
                    <w:rPr>
                      <w:rFonts w:hint="eastAsia"/>
                      <w:b/>
                      <w:szCs w:val="21"/>
                      <w:shd w:val="clear" w:color="auto" w:fill="FFFFFF"/>
                    </w:rPr>
                    <w:t>西安市人民政府《关于印发“三线一单”生态环境分区管控方案的通知》（市政发〔</w:t>
                  </w:r>
                  <w:r>
                    <w:rPr>
                      <w:b/>
                      <w:szCs w:val="21"/>
                      <w:shd w:val="clear" w:color="auto" w:fill="FFFFFF"/>
                    </w:rPr>
                    <w:t>2021</w:t>
                  </w:r>
                  <w:r>
                    <w:rPr>
                      <w:rFonts w:hint="eastAsia"/>
                      <w:b/>
                      <w:szCs w:val="21"/>
                      <w:shd w:val="clear" w:color="auto" w:fill="FFFFFF"/>
                    </w:rPr>
                    <w:t>〕</w:t>
                  </w:r>
                  <w:r>
                    <w:rPr>
                      <w:b/>
                      <w:szCs w:val="21"/>
                      <w:shd w:val="clear" w:color="auto" w:fill="FFFFFF"/>
                    </w:rPr>
                    <w:t xml:space="preserve">22 </w:t>
                  </w:r>
                  <w:r>
                    <w:rPr>
                      <w:rFonts w:hint="eastAsia"/>
                      <w:b/>
                      <w:szCs w:val="21"/>
                      <w:shd w:val="clear" w:color="auto" w:fill="FFFFFF"/>
                    </w:rPr>
                    <w:t>号）</w:t>
                  </w:r>
                </w:p>
              </w:tc>
              <w:tc>
                <w:tcPr>
                  <w:tcW w:w="634"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highlight w:val="cyan"/>
                    </w:rPr>
                  </w:pPr>
                  <w:r>
                    <w:rPr>
                      <w:rFonts w:hint="eastAsia"/>
                      <w:bCs/>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2374"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Cs w:val="21"/>
                      <w:shd w:val="clear" w:color="auto" w:fill="FFFFFF"/>
                    </w:rPr>
                  </w:pPr>
                  <w:r>
                    <w:rPr>
                      <w:rFonts w:hint="eastAsia"/>
                      <w:bCs/>
                      <w:szCs w:val="21"/>
                      <w:shd w:val="clear" w:color="auto" w:fill="FFFFFF"/>
                    </w:rPr>
                    <w:t>重点管控单元应优化空间布局和产业布局，结合生态环境质量达标情况以及经济社会发展水平等，按照差别化的生态环境准入要求，加强污染物排放控制和环境风险防控，不断提升资源利用效率，稳步改善生态环境质量。</w:t>
                  </w:r>
                </w:p>
              </w:tc>
              <w:tc>
                <w:tcPr>
                  <w:tcW w:w="199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Cs w:val="21"/>
                    </w:rPr>
                  </w:pPr>
                  <w:r>
                    <w:rPr>
                      <w:rFonts w:hint="eastAsia"/>
                      <w:bCs/>
                      <w:szCs w:val="21"/>
                      <w:shd w:val="clear" w:color="auto" w:fill="FFFFFF"/>
                    </w:rPr>
                    <w:t>项目所在区域属于重点管控单元。本项目污染物较少，且均采取有效措施，可有效防控环境风险。</w:t>
                  </w:r>
                </w:p>
              </w:tc>
              <w:tc>
                <w:tcPr>
                  <w:tcW w:w="634"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bCs/>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2374"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bCs/>
                      <w:szCs w:val="21"/>
                      <w:shd w:val="clear" w:color="auto" w:fill="FFFFFF"/>
                    </w:rPr>
                  </w:pPr>
                  <w:r>
                    <w:rPr>
                      <w:rFonts w:hint="eastAsia"/>
                      <w:bCs/>
                      <w:szCs w:val="21"/>
                      <w:shd w:val="clear" w:color="auto" w:fill="FFFFFF"/>
                    </w:rPr>
                    <w:t>将环境风险纳入常态化管理，推动环境风险防控由应急管理向全过程管理转变</w:t>
                  </w:r>
                </w:p>
              </w:tc>
              <w:tc>
                <w:tcPr>
                  <w:tcW w:w="199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Cs w:val="21"/>
                      <w:shd w:val="clear" w:color="auto" w:fill="FFFFFF"/>
                    </w:rPr>
                  </w:pPr>
                  <w:r>
                    <w:rPr>
                      <w:rFonts w:hint="eastAsia"/>
                      <w:bCs/>
                      <w:szCs w:val="21"/>
                      <w:shd w:val="clear" w:color="auto" w:fill="FFFFFF"/>
                    </w:rPr>
                    <w:t>本项目在采取提出的风险防范措施后，可减少风险事故发生的概率，同时可将环境风险影响降低。</w:t>
                  </w:r>
                </w:p>
              </w:tc>
              <w:tc>
                <w:tcPr>
                  <w:tcW w:w="634" w:type="pct"/>
                  <w:tcBorders>
                    <w:top w:val="single" w:color="auto" w:sz="4" w:space="0"/>
                    <w:left w:val="single" w:color="auto" w:sz="4" w:space="0"/>
                    <w:bottom w:val="single" w:color="auto" w:sz="4" w:space="0"/>
                    <w:right w:val="single" w:color="auto" w:sz="4" w:space="0"/>
                  </w:tcBorders>
                  <w:vAlign w:val="center"/>
                </w:tcPr>
                <w:p>
                  <w:pPr>
                    <w:widowControl/>
                    <w:jc w:val="center"/>
                    <w:rPr>
                      <w:bCs/>
                      <w:highlight w:val="cyan"/>
                    </w:rPr>
                  </w:pPr>
                  <w:r>
                    <w:rPr>
                      <w:rFonts w:hint="eastAsia"/>
                      <w:bCs/>
                    </w:rPr>
                    <w:t>符合</w:t>
                  </w:r>
                </w:p>
              </w:tc>
            </w:tr>
          </w:tbl>
          <w:p>
            <w:pPr>
              <w:autoSpaceDE w:val="0"/>
              <w:autoSpaceDN w:val="0"/>
              <w:adjustRightInd w:val="0"/>
              <w:snapToGrid w:val="0"/>
              <w:spacing w:before="120" w:beforeLines="50" w:line="360" w:lineRule="auto"/>
              <w:ind w:firstLine="480" w:firstLineChars="200"/>
              <w:rPr>
                <w:kern w:val="0"/>
                <w:sz w:val="24"/>
              </w:rPr>
            </w:pPr>
            <w:r>
              <w:rPr>
                <w:kern w:val="0"/>
                <w:sz w:val="24"/>
              </w:rPr>
              <w:t>综上所述，本项目符合</w:t>
            </w:r>
            <w:r>
              <w:rPr>
                <w:rFonts w:hint="eastAsia"/>
                <w:kern w:val="0"/>
                <w:sz w:val="24"/>
              </w:rPr>
              <w:t>《陕西省人民政府关于加快实施“三线一单”生态环境分区管控的意见》（陕政发〔2020〕11号）以及西安市人民政府《关于印发“三线一单”生态环境分区管控方案的通知》（市政发〔2021〕22 号）</w:t>
            </w:r>
            <w:r>
              <w:rPr>
                <w:kern w:val="0"/>
                <w:sz w:val="24"/>
              </w:rPr>
              <w:t>中相关规定。</w:t>
            </w:r>
          </w:p>
          <w:p>
            <w:pPr>
              <w:pStyle w:val="58"/>
              <w:spacing w:line="360" w:lineRule="auto"/>
              <w:ind w:firstLine="482"/>
              <w:rPr>
                <w:b/>
                <w:bCs/>
                <w:sz w:val="24"/>
              </w:rPr>
            </w:pPr>
            <w:r>
              <w:rPr>
                <w:b/>
                <w:bCs/>
                <w:sz w:val="24"/>
              </w:rPr>
              <w:t>1.3</w:t>
            </w:r>
            <w:r>
              <w:rPr>
                <w:b/>
                <w:bCs/>
                <w:sz w:val="24"/>
                <w:lang w:val="en-GB"/>
              </w:rPr>
              <w:t>与相关</w:t>
            </w:r>
            <w:r>
              <w:rPr>
                <w:rFonts w:hint="eastAsia"/>
                <w:b/>
                <w:bCs/>
                <w:sz w:val="24"/>
                <w:lang w:val="en-GB"/>
              </w:rPr>
              <w:t>环保</w:t>
            </w:r>
            <w:r>
              <w:rPr>
                <w:b/>
                <w:bCs/>
                <w:sz w:val="24"/>
                <w:lang w:val="en-GB"/>
              </w:rPr>
              <w:t>政策、文件</w:t>
            </w:r>
            <w:r>
              <w:rPr>
                <w:b/>
                <w:bCs/>
                <w:sz w:val="24"/>
              </w:rPr>
              <w:t>的相符性分析</w:t>
            </w:r>
          </w:p>
          <w:p>
            <w:pPr>
              <w:pStyle w:val="58"/>
              <w:spacing w:line="360" w:lineRule="auto"/>
              <w:ind w:firstLine="0" w:firstLineChars="0"/>
              <w:jc w:val="center"/>
              <w:rPr>
                <w:b/>
                <w:bCs/>
                <w:sz w:val="21"/>
                <w:szCs w:val="21"/>
              </w:rPr>
            </w:pPr>
            <w:r>
              <w:rPr>
                <w:b/>
                <w:bCs/>
                <w:sz w:val="21"/>
                <w:szCs w:val="21"/>
              </w:rPr>
              <w:t>表</w:t>
            </w:r>
            <w:r>
              <w:rPr>
                <w:b/>
                <w:bCs/>
                <w:sz w:val="21"/>
                <w:szCs w:val="21"/>
                <w:lang w:val="en-GB"/>
              </w:rPr>
              <w:t>1-</w:t>
            </w:r>
            <w:r>
              <w:rPr>
                <w:b/>
                <w:bCs/>
                <w:sz w:val="21"/>
                <w:szCs w:val="21"/>
              </w:rPr>
              <w:t>2</w:t>
            </w:r>
            <w:r>
              <w:rPr>
                <w:b/>
                <w:bCs/>
                <w:sz w:val="21"/>
                <w:szCs w:val="21"/>
                <w:lang w:val="en-GB"/>
              </w:rPr>
              <w:t xml:space="preserve"> </w:t>
            </w:r>
            <w:r>
              <w:rPr>
                <w:b/>
                <w:bCs/>
                <w:sz w:val="21"/>
                <w:szCs w:val="21"/>
              </w:rPr>
              <w:t>与相关</w:t>
            </w:r>
            <w:r>
              <w:rPr>
                <w:rFonts w:hint="eastAsia"/>
                <w:b/>
                <w:bCs/>
                <w:sz w:val="21"/>
                <w:szCs w:val="21"/>
              </w:rPr>
              <w:t>环保</w:t>
            </w:r>
            <w:r>
              <w:rPr>
                <w:b/>
                <w:bCs/>
                <w:sz w:val="21"/>
                <w:szCs w:val="21"/>
              </w:rPr>
              <w:t>政策、文件的相符性分析</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835"/>
              <w:gridCol w:w="1947"/>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96" w:type="dxa"/>
                  <w:vAlign w:val="center"/>
                </w:tcPr>
                <w:p>
                  <w:pPr>
                    <w:jc w:val="center"/>
                    <w:rPr>
                      <w:b/>
                      <w:bCs/>
                      <w:szCs w:val="21"/>
                    </w:rPr>
                  </w:pPr>
                  <w:r>
                    <w:rPr>
                      <w:rFonts w:hint="eastAsia"/>
                      <w:b/>
                      <w:bCs/>
                      <w:szCs w:val="21"/>
                    </w:rPr>
                    <w:t>政策文件</w:t>
                  </w:r>
                </w:p>
              </w:tc>
              <w:tc>
                <w:tcPr>
                  <w:tcW w:w="2835" w:type="dxa"/>
                  <w:vAlign w:val="center"/>
                </w:tcPr>
                <w:p>
                  <w:pPr>
                    <w:jc w:val="center"/>
                    <w:rPr>
                      <w:b/>
                      <w:bCs/>
                      <w:szCs w:val="21"/>
                    </w:rPr>
                  </w:pPr>
                  <w:r>
                    <w:rPr>
                      <w:b/>
                      <w:bCs/>
                      <w:szCs w:val="21"/>
                    </w:rPr>
                    <w:t>规范条件</w:t>
                  </w:r>
                </w:p>
              </w:tc>
              <w:tc>
                <w:tcPr>
                  <w:tcW w:w="1947" w:type="dxa"/>
                  <w:vAlign w:val="center"/>
                </w:tcPr>
                <w:p>
                  <w:pPr>
                    <w:jc w:val="center"/>
                    <w:rPr>
                      <w:b/>
                      <w:bCs/>
                      <w:szCs w:val="21"/>
                    </w:rPr>
                  </w:pPr>
                  <w:r>
                    <w:rPr>
                      <w:b/>
                      <w:bCs/>
                      <w:szCs w:val="21"/>
                    </w:rPr>
                    <w:t>本项目情况</w:t>
                  </w:r>
                </w:p>
              </w:tc>
              <w:tc>
                <w:tcPr>
                  <w:tcW w:w="909" w:type="dxa"/>
                  <w:vAlign w:val="center"/>
                </w:tcPr>
                <w:p>
                  <w:pPr>
                    <w:jc w:val="center"/>
                    <w:rPr>
                      <w:b/>
                      <w:bCs/>
                      <w:szCs w:val="21"/>
                    </w:rPr>
                  </w:pPr>
                  <w:r>
                    <w:rPr>
                      <w:rFonts w:hint="eastAsia"/>
                      <w:b/>
                      <w:bCs/>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096" w:type="dxa"/>
                  <w:vAlign w:val="center"/>
                </w:tcPr>
                <w:p>
                  <w:pPr>
                    <w:rPr>
                      <w:szCs w:val="21"/>
                    </w:rPr>
                  </w:pPr>
                  <w:r>
                    <w:rPr>
                      <w:szCs w:val="21"/>
                    </w:rPr>
                    <w:t>《陕西省碧水保卫战2022年工作方案》</w:t>
                  </w:r>
                </w:p>
              </w:tc>
              <w:tc>
                <w:tcPr>
                  <w:tcW w:w="2835" w:type="dxa"/>
                  <w:vAlign w:val="center"/>
                </w:tcPr>
                <w:p>
                  <w:pPr>
                    <w:rPr>
                      <w:szCs w:val="21"/>
                    </w:rPr>
                  </w:pPr>
                  <w:r>
                    <w:rPr>
                      <w:szCs w:val="21"/>
                    </w:rPr>
                    <w:t>提升水资源利用水平。大力推广先进节水工艺和技术，支持企业开展节水技术改造。</w:t>
                  </w:r>
                </w:p>
              </w:tc>
              <w:tc>
                <w:tcPr>
                  <w:tcW w:w="1947" w:type="dxa"/>
                  <w:vAlign w:val="center"/>
                </w:tcPr>
                <w:p>
                  <w:pPr>
                    <w:rPr>
                      <w:szCs w:val="21"/>
                    </w:rPr>
                  </w:pPr>
                  <w:r>
                    <w:rPr>
                      <w:szCs w:val="21"/>
                    </w:rPr>
                    <w:t>本项目机制砂清洗废水处理后循环使用，不外排。厂区设有车辆冲洗台对进出厂车辆进行冲洗，冲洗废水沉淀后循环使用，不外排。</w:t>
                  </w:r>
                </w:p>
              </w:tc>
              <w:tc>
                <w:tcPr>
                  <w:tcW w:w="909" w:type="dxa"/>
                  <w:vAlign w:val="center"/>
                </w:tcPr>
                <w:p>
                  <w:pPr>
                    <w:rPr>
                      <w:szCs w:val="21"/>
                    </w:rPr>
                  </w:pPr>
                  <w:r>
                    <w:rPr>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5" w:hRule="atLeast"/>
                <w:jc w:val="center"/>
              </w:trPr>
              <w:tc>
                <w:tcPr>
                  <w:tcW w:w="1096" w:type="dxa"/>
                  <w:vAlign w:val="center"/>
                </w:tcPr>
                <w:p>
                  <w:pPr>
                    <w:rPr>
                      <w:szCs w:val="21"/>
                    </w:rPr>
                  </w:pPr>
                  <w:r>
                    <w:rPr>
                      <w:szCs w:val="21"/>
                    </w:rPr>
                    <w:t>《陕西省蓝天保卫战2022年工作方案》</w:t>
                  </w:r>
                </w:p>
              </w:tc>
              <w:tc>
                <w:tcPr>
                  <w:tcW w:w="2835" w:type="dxa"/>
                  <w:vAlign w:val="center"/>
                </w:tcPr>
                <w:p>
                  <w:pPr>
                    <w:rPr>
                      <w:szCs w:val="21"/>
                    </w:rPr>
                  </w:pPr>
                  <w:r>
                    <w:rPr>
                      <w:rFonts w:hint="eastAsia"/>
                      <w:szCs w:val="21"/>
                    </w:rPr>
                    <w:t>加强物料堆场扬尘管控。针对铸造、铁合金、焦化、水泥、砖瓦、石灰、耐火材料、有色金属冶炼等行业企业，严格控制物料储存、输送及生产工艺过程无组织排放，粉粒类物料堆放场以及大型煤炭和矿石物料堆场，基本完成抑尘设施建设和物料输送系统封闭改造。严禁露天装卸作业和物料干法作业。</w:t>
                  </w:r>
                </w:p>
              </w:tc>
              <w:tc>
                <w:tcPr>
                  <w:tcW w:w="1947" w:type="dxa"/>
                  <w:vAlign w:val="center"/>
                </w:tcPr>
                <w:p>
                  <w:pPr>
                    <w:rPr>
                      <w:szCs w:val="21"/>
                    </w:rPr>
                  </w:pPr>
                  <w:r>
                    <w:rPr>
                      <w:szCs w:val="21"/>
                    </w:rPr>
                    <w:t>项目生产车间封闭，</w:t>
                  </w:r>
                  <w:r>
                    <w:rPr>
                      <w:rFonts w:hint="eastAsia"/>
                      <w:szCs w:val="21"/>
                    </w:rPr>
                    <w:t>废弃建筑水泥块</w:t>
                  </w:r>
                  <w:r>
                    <w:rPr>
                      <w:szCs w:val="21"/>
                    </w:rPr>
                    <w:t>及</w:t>
                  </w:r>
                  <w:r>
                    <w:rPr>
                      <w:rFonts w:hint="eastAsia"/>
                      <w:szCs w:val="21"/>
                    </w:rPr>
                    <w:t>泥</w:t>
                  </w:r>
                  <w:r>
                    <w:rPr>
                      <w:szCs w:val="21"/>
                    </w:rPr>
                    <w:t>沙石贮存在车间内原料堆放区；原料卸料、输送过程中采取喷雾抑尘洒水措施。破碎机、筛分机等设备产尘点设置集气罩，粉尘收集至布袋除尘器处理后经15m高排气筒排放。</w:t>
                  </w:r>
                </w:p>
              </w:tc>
              <w:tc>
                <w:tcPr>
                  <w:tcW w:w="909" w:type="dxa"/>
                  <w:vAlign w:val="center"/>
                </w:tcPr>
                <w:p>
                  <w:pPr>
                    <w:rPr>
                      <w:szCs w:val="21"/>
                    </w:rPr>
                  </w:pPr>
                  <w:r>
                    <w:rPr>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1096" w:type="dxa"/>
                  <w:vMerge w:val="restart"/>
                  <w:vAlign w:val="center"/>
                </w:tcPr>
                <w:p>
                  <w:pPr>
                    <w:jc w:val="center"/>
                    <w:rPr>
                      <w:szCs w:val="21"/>
                    </w:rPr>
                  </w:pPr>
                  <w:r>
                    <w:rPr>
                      <w:szCs w:val="21"/>
                    </w:rPr>
                    <w:t>《关于推进机制砂石行业高质量发展的若干意见》</w:t>
                  </w:r>
                </w:p>
              </w:tc>
              <w:tc>
                <w:tcPr>
                  <w:tcW w:w="2835" w:type="dxa"/>
                  <w:vAlign w:val="center"/>
                </w:tcPr>
                <w:p>
                  <w:pPr>
                    <w:rPr>
                      <w:szCs w:val="21"/>
                    </w:rPr>
                  </w:pPr>
                  <w:r>
                    <w:rPr>
                      <w:szCs w:val="21"/>
                    </w:rPr>
                    <w:t>根据建筑垃圾吸水率高等特点，鼓励生产满足海绵城市建设需要的砂石等产品。支持就地取材，利用开山、道路、隧洞、场地平整等建设工程产生的砂石料生产机制砂石，减少长距离运输外来砂石，满足建设需要。</w:t>
                  </w:r>
                </w:p>
              </w:tc>
              <w:tc>
                <w:tcPr>
                  <w:tcW w:w="1947" w:type="dxa"/>
                  <w:vAlign w:val="center"/>
                </w:tcPr>
                <w:p>
                  <w:pPr>
                    <w:rPr>
                      <w:szCs w:val="21"/>
                    </w:rPr>
                  </w:pPr>
                  <w:r>
                    <w:rPr>
                      <w:szCs w:val="21"/>
                    </w:rPr>
                    <w:t>本项目利用当地</w:t>
                  </w:r>
                  <w:r>
                    <w:rPr>
                      <w:rFonts w:hint="eastAsia"/>
                      <w:szCs w:val="21"/>
                    </w:rPr>
                    <w:t>废弃建筑水泥块及泥沙石</w:t>
                  </w:r>
                  <w:r>
                    <w:rPr>
                      <w:szCs w:val="21"/>
                    </w:rPr>
                    <w:t>等生产</w:t>
                  </w:r>
                  <w:r>
                    <w:rPr>
                      <w:rFonts w:hint="eastAsia"/>
                      <w:szCs w:val="21"/>
                    </w:rPr>
                    <w:t>水洗砂、碎石、石粉等材料</w:t>
                  </w:r>
                  <w:r>
                    <w:rPr>
                      <w:szCs w:val="21"/>
                    </w:rPr>
                    <w:t>，减少运输距离。</w:t>
                  </w:r>
                </w:p>
              </w:tc>
              <w:tc>
                <w:tcPr>
                  <w:tcW w:w="909" w:type="dxa"/>
                  <w:vAlign w:val="center"/>
                </w:tcPr>
                <w:p>
                  <w:pPr>
                    <w:jc w:val="center"/>
                    <w:rPr>
                      <w:szCs w:val="21"/>
                    </w:rPr>
                  </w:pPr>
                  <w:r>
                    <w:rPr>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096" w:type="dxa"/>
                  <w:vMerge w:val="continue"/>
                  <w:vAlign w:val="center"/>
                </w:tcPr>
                <w:p>
                  <w:pPr>
                    <w:jc w:val="center"/>
                    <w:rPr>
                      <w:szCs w:val="21"/>
                      <w:highlight w:val="cyan"/>
                    </w:rPr>
                  </w:pPr>
                </w:p>
              </w:tc>
              <w:tc>
                <w:tcPr>
                  <w:tcW w:w="2835" w:type="dxa"/>
                  <w:vAlign w:val="center"/>
                </w:tcPr>
                <w:p>
                  <w:pPr>
                    <w:rPr>
                      <w:szCs w:val="21"/>
                    </w:rPr>
                  </w:pPr>
                  <w:r>
                    <w:rPr>
                      <w:szCs w:val="21"/>
                    </w:rPr>
                    <w:t>依据原料品质实施分级利用，做到优质优用，提高砂石产品的成品率。对成品料分类或分仓储存。加强对原料的品质监测和控制能力，严格控制有害杂质含量。</w:t>
                  </w:r>
                </w:p>
              </w:tc>
              <w:tc>
                <w:tcPr>
                  <w:tcW w:w="1947" w:type="dxa"/>
                  <w:vAlign w:val="center"/>
                </w:tcPr>
                <w:p>
                  <w:pPr>
                    <w:rPr>
                      <w:szCs w:val="21"/>
                    </w:rPr>
                  </w:pPr>
                  <w:r>
                    <w:rPr>
                      <w:szCs w:val="21"/>
                    </w:rPr>
                    <w:t>本项目原料为</w:t>
                  </w:r>
                  <w:r>
                    <w:rPr>
                      <w:rFonts w:hint="eastAsia"/>
                      <w:szCs w:val="21"/>
                    </w:rPr>
                    <w:t>当地废弃建筑水泥块及泥沙石</w:t>
                  </w:r>
                  <w:r>
                    <w:rPr>
                      <w:szCs w:val="21"/>
                    </w:rPr>
                    <w:t>，均为无毒无害物质，根据原料分级利用，提高成品率。</w:t>
                  </w:r>
                </w:p>
              </w:tc>
              <w:tc>
                <w:tcPr>
                  <w:tcW w:w="909" w:type="dxa"/>
                  <w:vAlign w:val="center"/>
                </w:tcPr>
                <w:p>
                  <w:pPr>
                    <w:jc w:val="center"/>
                    <w:rPr>
                      <w:szCs w:val="21"/>
                    </w:rPr>
                  </w:pPr>
                  <w:r>
                    <w:rPr>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1096" w:type="dxa"/>
                  <w:vMerge w:val="continue"/>
                  <w:vAlign w:val="center"/>
                </w:tcPr>
                <w:p>
                  <w:pPr>
                    <w:jc w:val="center"/>
                    <w:rPr>
                      <w:szCs w:val="21"/>
                      <w:highlight w:val="cyan"/>
                    </w:rPr>
                  </w:pPr>
                </w:p>
              </w:tc>
              <w:tc>
                <w:tcPr>
                  <w:tcW w:w="2835" w:type="dxa"/>
                  <w:vAlign w:val="center"/>
                </w:tcPr>
                <w:p>
                  <w:pPr>
                    <w:rPr>
                      <w:szCs w:val="21"/>
                    </w:rPr>
                  </w:pPr>
                  <w:r>
                    <w:rPr>
                      <w:szCs w:val="21"/>
                    </w:rPr>
                    <w:t>机制砂石企业要坚持绿色低碳循环发展，按照相关规范要求建设绿色矿山。生产线配套建设抑尘收尘、水处理和降噪等污染防治以及水土保持设施，对设备、产品采取棚化密封或其他有效覆盖措施，推进清洁生产，严控无组织排放，满足达标排放等环保要求。对工艺废水、细粉和沉淀泥浆等加强回收再利用，鼓励利用生产过程中的伴生石粉生产绿色建材，实现近零排放。</w:t>
                  </w:r>
                </w:p>
              </w:tc>
              <w:tc>
                <w:tcPr>
                  <w:tcW w:w="1947" w:type="dxa"/>
                  <w:vAlign w:val="center"/>
                </w:tcPr>
                <w:p>
                  <w:pPr>
                    <w:rPr>
                      <w:szCs w:val="21"/>
                    </w:rPr>
                  </w:pPr>
                  <w:r>
                    <w:rPr>
                      <w:szCs w:val="21"/>
                    </w:rPr>
                    <w:t>本项目产品、原料堆存、生产设备均位于全封闭生产车间，生产线配套喷淋抑尘装置、废水回用沉淀池及降噪设施，使各污染物可达标排放。</w:t>
                  </w:r>
                </w:p>
              </w:tc>
              <w:tc>
                <w:tcPr>
                  <w:tcW w:w="909" w:type="dxa"/>
                  <w:vAlign w:val="center"/>
                </w:tcPr>
                <w:p>
                  <w:pPr>
                    <w:jc w:val="center"/>
                    <w:rPr>
                      <w:szCs w:val="21"/>
                    </w:rPr>
                  </w:pPr>
                  <w:r>
                    <w:rPr>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096" w:type="dxa"/>
                  <w:vAlign w:val="center"/>
                </w:tcPr>
                <w:p>
                  <w:pPr>
                    <w:jc w:val="center"/>
                    <w:rPr>
                      <w:szCs w:val="21"/>
                    </w:rPr>
                  </w:pPr>
                  <w:r>
                    <w:rPr>
                      <w:szCs w:val="21"/>
                    </w:rPr>
                    <w:t>关于“十四五”大宗固体废弃物综合利用的指导意见（发改环资〔2021〕381号）</w:t>
                  </w:r>
                </w:p>
              </w:tc>
              <w:tc>
                <w:tcPr>
                  <w:tcW w:w="2835" w:type="dxa"/>
                  <w:vAlign w:val="center"/>
                </w:tcPr>
                <w:p>
                  <w:pPr>
                    <w:rPr>
                      <w:szCs w:val="21"/>
                    </w:rPr>
                  </w:pPr>
                  <w:r>
                    <w:rPr>
                      <w:szCs w:val="21"/>
                    </w:rPr>
                    <w:t>（十）建筑垃圾。加强建筑垃圾分类处理和回收利用，规范建筑垃圾堆存、中转和资源化利用场所建设和运营，推动建筑垃圾综合利用产品应用。鼓励建筑垃圾再生骨料及制品在建筑工程和道路工程中的应用，以及将建筑垃圾用于土方平衡、林业用土、环境治理、烧结制品及回填等，不断提高利用质量、扩大资源化利用规模。</w:t>
                  </w:r>
                </w:p>
              </w:tc>
              <w:tc>
                <w:tcPr>
                  <w:tcW w:w="1947" w:type="dxa"/>
                  <w:vAlign w:val="center"/>
                </w:tcPr>
                <w:p>
                  <w:pPr>
                    <w:rPr>
                      <w:szCs w:val="21"/>
                    </w:rPr>
                  </w:pPr>
                  <w:r>
                    <w:rPr>
                      <w:rFonts w:hint="eastAsia"/>
                      <w:szCs w:val="21"/>
                    </w:rPr>
                    <w:t>本项目利用当地废弃建筑水泥块及泥沙石等生产水洗砂、碎石、石粉等材料</w:t>
                  </w:r>
                  <w:r>
                    <w:rPr>
                      <w:szCs w:val="21"/>
                    </w:rPr>
                    <w:t>，可提高建筑垃圾的资源化再生利用。</w:t>
                  </w:r>
                </w:p>
              </w:tc>
              <w:tc>
                <w:tcPr>
                  <w:tcW w:w="909" w:type="dxa"/>
                  <w:vAlign w:val="center"/>
                </w:tcPr>
                <w:p>
                  <w:pPr>
                    <w:jc w:val="center"/>
                    <w:rPr>
                      <w:szCs w:val="21"/>
                    </w:rPr>
                  </w:pPr>
                  <w:r>
                    <w:rPr>
                      <w:szCs w:val="21"/>
                    </w:rPr>
                    <w:t>符合</w:t>
                  </w:r>
                </w:p>
              </w:tc>
            </w:tr>
          </w:tbl>
          <w:p>
            <w:pPr>
              <w:autoSpaceDE w:val="0"/>
              <w:autoSpaceDN w:val="0"/>
              <w:adjustRightInd w:val="0"/>
              <w:snapToGrid w:val="0"/>
              <w:spacing w:after="120" w:afterLines="50"/>
              <w:rPr>
                <w:kern w:val="0"/>
                <w:sz w:val="24"/>
                <w:highlight w:val="cyan"/>
              </w:rPr>
            </w:pPr>
          </w:p>
          <w:p>
            <w:pPr>
              <w:spacing w:line="300" w:lineRule="auto"/>
              <w:ind w:firstLine="482"/>
              <w:rPr>
                <w:b/>
                <w:bCs/>
                <w:sz w:val="24"/>
              </w:rPr>
            </w:pPr>
            <w:r>
              <w:rPr>
                <w:rFonts w:hint="eastAsia"/>
                <w:b/>
                <w:bCs/>
                <w:sz w:val="24"/>
              </w:rPr>
              <w:t>1.</w:t>
            </w:r>
            <w:r>
              <w:rPr>
                <w:b/>
                <w:bCs/>
                <w:sz w:val="24"/>
              </w:rPr>
              <w:t>4</w:t>
            </w:r>
            <w:r>
              <w:rPr>
                <w:rFonts w:hint="eastAsia"/>
                <w:b/>
                <w:bCs/>
                <w:sz w:val="24"/>
              </w:rPr>
              <w:t>选址合理性分析</w:t>
            </w:r>
          </w:p>
          <w:p>
            <w:pPr>
              <w:spacing w:line="360" w:lineRule="auto"/>
              <w:ind w:firstLine="480" w:firstLineChars="200"/>
              <w:jc w:val="left"/>
              <w:rPr>
                <w:sz w:val="24"/>
              </w:rPr>
            </w:pPr>
            <w:r>
              <w:rPr>
                <w:rFonts w:hint="eastAsia"/>
                <w:sz w:val="24"/>
              </w:rPr>
              <w:t>①陕西省西安市灞桥区灞桥街</w:t>
            </w:r>
            <w:r>
              <w:rPr>
                <w:rFonts w:hint="eastAsia"/>
                <w:sz w:val="24"/>
                <w:lang w:val="en-US" w:eastAsia="zh-CN"/>
              </w:rPr>
              <w:t>道</w:t>
            </w:r>
            <w:r>
              <w:rPr>
                <w:rFonts w:hint="eastAsia"/>
                <w:sz w:val="24"/>
                <w:lang w:eastAsia="zh-CN"/>
              </w:rPr>
              <w:t>歇驾寺村</w:t>
            </w:r>
            <w:r>
              <w:rPr>
                <w:rFonts w:hint="eastAsia"/>
                <w:sz w:val="24"/>
              </w:rPr>
              <w:t>6号，租赁</w:t>
            </w:r>
            <w:r>
              <w:rPr>
                <w:rFonts w:hint="eastAsia"/>
                <w:sz w:val="24"/>
                <w:lang w:val="en-US" w:eastAsia="zh-CN"/>
              </w:rPr>
              <w:t>厂房（见附件三、厂房租赁合同），根据西安市自然资源和规划局灞桥分局灞桥资源规划所出具的证明文件（见附件六、用地证明）</w:t>
            </w:r>
            <w:r>
              <w:rPr>
                <w:rFonts w:hint="eastAsia"/>
                <w:sz w:val="24"/>
              </w:rPr>
              <w:t>，</w:t>
            </w:r>
            <w:r>
              <w:rPr>
                <w:rFonts w:hint="eastAsia"/>
                <w:sz w:val="24"/>
                <w:lang w:val="en-US" w:eastAsia="zh-CN"/>
              </w:rPr>
              <w:t>该宗地</w:t>
            </w:r>
            <w:r>
              <w:rPr>
                <w:rFonts w:hint="eastAsia"/>
                <w:sz w:val="24"/>
              </w:rPr>
              <w:t>为建设用地。根据现场勘查，项目区域地势平坦，项目东侧为墓地，北侧邻生产路，西侧为空地，南侧为苗地。项目所选厂址不在自然保护区、风景名胜区、水源地保护区、生态功能保护区等需要特殊保护的地区范围内，从环保角度分析选址可行，不存在制约因素。</w:t>
            </w:r>
          </w:p>
          <w:p>
            <w:pPr>
              <w:spacing w:line="360" w:lineRule="auto"/>
              <w:ind w:firstLine="480" w:firstLineChars="200"/>
              <w:jc w:val="left"/>
              <w:rPr>
                <w:sz w:val="24"/>
              </w:rPr>
            </w:pPr>
            <w:r>
              <w:rPr>
                <w:rFonts w:hint="eastAsia"/>
                <w:sz w:val="24"/>
              </w:rPr>
              <w:t>项目的主要环境影响为运营期产生的废气、废水、噪声、固体废物等对区域环境的影响，根据环境影响评价结果，在采取相应的环保措施后，项目运行时产生的各类污染物符合达标排放要求，项目的建设不会对区域环境功能造成显著影响，因此项目在环保角度讲可行。</w:t>
            </w:r>
          </w:p>
          <w:p>
            <w:pPr>
              <w:pStyle w:val="2"/>
              <w:rPr>
                <w:highlight w:val="cyan"/>
              </w:rPr>
            </w:pPr>
          </w:p>
          <w:p>
            <w:pPr>
              <w:rPr>
                <w:highlight w:val="cyan"/>
              </w:rPr>
            </w:pPr>
          </w:p>
          <w:p>
            <w:pPr>
              <w:pStyle w:val="2"/>
              <w:rPr>
                <w:highlight w:val="cyan"/>
              </w:rPr>
            </w:pPr>
          </w:p>
          <w:p>
            <w:pPr>
              <w:rPr>
                <w:highlight w:val="cyan"/>
              </w:rPr>
            </w:pPr>
          </w:p>
          <w:p>
            <w:pPr>
              <w:pStyle w:val="2"/>
              <w:rPr>
                <w:highlight w:val="cyan"/>
              </w:rPr>
            </w:pPr>
          </w:p>
          <w:p>
            <w:pPr>
              <w:rPr>
                <w:highlight w:val="cyan"/>
              </w:rPr>
            </w:pPr>
          </w:p>
          <w:p>
            <w:pPr>
              <w:pStyle w:val="2"/>
              <w:rPr>
                <w:highlight w:val="cyan"/>
              </w:rPr>
            </w:pPr>
          </w:p>
          <w:p>
            <w:pPr>
              <w:rPr>
                <w:highlight w:val="cyan"/>
              </w:rPr>
            </w:pPr>
          </w:p>
          <w:p>
            <w:pPr>
              <w:pStyle w:val="2"/>
              <w:rPr>
                <w:highlight w:val="cyan"/>
              </w:rPr>
            </w:pPr>
          </w:p>
          <w:p>
            <w:pPr>
              <w:rPr>
                <w:highlight w:val="cyan"/>
              </w:rPr>
            </w:pPr>
          </w:p>
          <w:p>
            <w:pPr>
              <w:rPr>
                <w:highlight w:val="cyan"/>
              </w:rPr>
            </w:pPr>
          </w:p>
        </w:tc>
      </w:tr>
    </w:tbl>
    <w:p>
      <w:pPr>
        <w:spacing w:line="360" w:lineRule="auto"/>
        <w:outlineLvl w:val="0"/>
        <w:rPr>
          <w:rFonts w:eastAsia="黑体"/>
          <w:sz w:val="30"/>
          <w:highlight w:val="cyan"/>
        </w:rPr>
        <w:sectPr>
          <w:footerReference r:id="rId5" w:type="default"/>
          <w:pgSz w:w="11906" w:h="16838"/>
          <w:pgMar w:top="1417" w:right="1417" w:bottom="1417" w:left="1417" w:header="851" w:footer="1077" w:gutter="0"/>
          <w:pgNumType w:start="1"/>
          <w:cols w:space="720" w:num="1"/>
          <w:docGrid w:linePitch="312" w:charSpace="0"/>
        </w:sectPr>
      </w:pPr>
    </w:p>
    <w:p>
      <w:pPr>
        <w:pStyle w:val="21"/>
        <w:jc w:val="center"/>
        <w:outlineLvl w:val="0"/>
        <w:rPr>
          <w:rFonts w:ascii="Times New Roman" w:hAnsi="Times New Roman" w:eastAsia="黑体"/>
          <w:snapToGrid w:val="0"/>
          <w:sz w:val="30"/>
          <w:szCs w:val="30"/>
        </w:rPr>
      </w:pPr>
      <w:bookmarkStart w:id="5" w:name="_Toc103016567"/>
      <w:r>
        <w:rPr>
          <w:rFonts w:ascii="Times New Roman" w:hAnsi="Times New Roman" w:eastAsia="黑体"/>
          <w:snapToGrid w:val="0"/>
          <w:sz w:val="30"/>
          <w:szCs w:val="30"/>
        </w:rPr>
        <w:t>二、建设项目工程分析</w:t>
      </w:r>
      <w:bookmarkEnd w:id="5"/>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84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83" w:hRule="atLeast"/>
          <w:jc w:val="center"/>
        </w:trPr>
        <w:tc>
          <w:tcPr>
            <w:tcW w:w="851" w:type="dxa"/>
            <w:vAlign w:val="center"/>
          </w:tcPr>
          <w:p>
            <w:pPr>
              <w:pStyle w:val="21"/>
              <w:adjustRightInd w:val="0"/>
              <w:snapToGrid w:val="0"/>
              <w:spacing w:before="0" w:beforeAutospacing="0" w:after="0" w:afterAutospacing="0"/>
              <w:jc w:val="center"/>
              <w:rPr>
                <w:rFonts w:ascii="Times New Roman" w:hAnsi="Times New Roman"/>
                <w:szCs w:val="24"/>
                <w:highlight w:val="cyan"/>
              </w:rPr>
            </w:pPr>
            <w:r>
              <w:rPr>
                <w:rFonts w:ascii="Times New Roman" w:hAnsi="Times New Roman"/>
                <w:szCs w:val="24"/>
              </w:rPr>
              <w:t>建设内容</w:t>
            </w:r>
          </w:p>
        </w:tc>
        <w:tc>
          <w:tcPr>
            <w:tcW w:w="8437" w:type="dxa"/>
          </w:tcPr>
          <w:p>
            <w:pPr>
              <w:adjustRightInd w:val="0"/>
              <w:snapToGrid w:val="0"/>
              <w:spacing w:line="360" w:lineRule="auto"/>
              <w:rPr>
                <w:b/>
                <w:bCs/>
                <w:sz w:val="24"/>
              </w:rPr>
            </w:pPr>
            <w:r>
              <w:rPr>
                <w:b/>
                <w:bCs/>
                <w:sz w:val="24"/>
              </w:rPr>
              <w:t>2.1项目基本情况</w:t>
            </w:r>
          </w:p>
          <w:p>
            <w:pPr>
              <w:spacing w:line="360" w:lineRule="auto"/>
              <w:ind w:firstLine="480" w:firstLineChars="200"/>
              <w:jc w:val="left"/>
              <w:rPr>
                <w:sz w:val="24"/>
              </w:rPr>
            </w:pPr>
            <w:r>
              <w:rPr>
                <w:sz w:val="24"/>
              </w:rPr>
              <w:t>（1）项目名称：</w:t>
            </w:r>
            <w:r>
              <w:rPr>
                <w:rFonts w:hint="eastAsia"/>
                <w:sz w:val="24"/>
              </w:rPr>
              <w:t>陕西</w:t>
            </w:r>
            <w:r>
              <w:rPr>
                <w:rFonts w:hint="eastAsia"/>
                <w:sz w:val="24"/>
                <w:lang w:eastAsia="zh-CN"/>
              </w:rPr>
              <w:t>灞沣</w:t>
            </w:r>
            <w:r>
              <w:rPr>
                <w:rFonts w:hint="eastAsia"/>
                <w:sz w:val="24"/>
              </w:rPr>
              <w:t>源环保建材有限公司砂石建材回收利用项目</w:t>
            </w:r>
          </w:p>
          <w:p>
            <w:pPr>
              <w:spacing w:line="360" w:lineRule="auto"/>
              <w:ind w:firstLine="480" w:firstLineChars="200"/>
              <w:jc w:val="left"/>
              <w:rPr>
                <w:sz w:val="24"/>
              </w:rPr>
            </w:pPr>
            <w:r>
              <w:rPr>
                <w:sz w:val="24"/>
              </w:rPr>
              <w:t>（2）建设性质：新建</w:t>
            </w:r>
          </w:p>
          <w:p>
            <w:pPr>
              <w:spacing w:line="360" w:lineRule="auto"/>
              <w:ind w:firstLine="480" w:firstLineChars="200"/>
              <w:jc w:val="left"/>
              <w:rPr>
                <w:sz w:val="24"/>
              </w:rPr>
            </w:pPr>
            <w:r>
              <w:rPr>
                <w:sz w:val="24"/>
              </w:rPr>
              <w:t>（3）建设单位：</w:t>
            </w:r>
            <w:r>
              <w:rPr>
                <w:rFonts w:hint="eastAsia"/>
                <w:sz w:val="24"/>
              </w:rPr>
              <w:t>陕西</w:t>
            </w:r>
            <w:r>
              <w:rPr>
                <w:rFonts w:hint="eastAsia"/>
                <w:sz w:val="24"/>
                <w:lang w:eastAsia="zh-CN"/>
              </w:rPr>
              <w:t>灞沣</w:t>
            </w:r>
            <w:r>
              <w:rPr>
                <w:rFonts w:hint="eastAsia"/>
                <w:sz w:val="24"/>
              </w:rPr>
              <w:t>源环保建材有限公司</w:t>
            </w:r>
          </w:p>
          <w:p>
            <w:pPr>
              <w:spacing w:line="360" w:lineRule="auto"/>
              <w:ind w:firstLine="480" w:firstLineChars="200"/>
              <w:jc w:val="left"/>
              <w:rPr>
                <w:sz w:val="24"/>
              </w:rPr>
            </w:pPr>
            <w:r>
              <w:rPr>
                <w:sz w:val="24"/>
              </w:rPr>
              <w:t>（4）项目投资：项目总投资为500万元，其中环保投资为35万元，占总投资比例为7%。</w:t>
            </w:r>
          </w:p>
          <w:p>
            <w:pPr>
              <w:spacing w:line="360" w:lineRule="auto"/>
              <w:rPr>
                <w:b/>
                <w:bCs/>
                <w:sz w:val="24"/>
              </w:rPr>
            </w:pPr>
            <w:r>
              <w:rPr>
                <w:b/>
                <w:bCs/>
                <w:sz w:val="24"/>
              </w:rPr>
              <w:t>2.2工程规模与建设内容</w:t>
            </w:r>
          </w:p>
          <w:p>
            <w:pPr>
              <w:spacing w:line="360" w:lineRule="auto"/>
              <w:ind w:firstLine="480" w:firstLineChars="200"/>
              <w:rPr>
                <w:b/>
                <w:sz w:val="24"/>
              </w:rPr>
            </w:pPr>
            <w:r>
              <w:rPr>
                <w:kern w:val="24"/>
                <w:sz w:val="24"/>
              </w:rPr>
              <w:t>本项目位于</w:t>
            </w:r>
            <w:r>
              <w:rPr>
                <w:rFonts w:hint="eastAsia"/>
                <w:sz w:val="24"/>
              </w:rPr>
              <w:t>陕西省西安市灞桥区灞桥街</w:t>
            </w:r>
            <w:r>
              <w:rPr>
                <w:rFonts w:hint="eastAsia"/>
                <w:sz w:val="24"/>
                <w:lang w:val="en-US" w:eastAsia="zh-CN"/>
              </w:rPr>
              <w:t>道</w:t>
            </w:r>
            <w:r>
              <w:rPr>
                <w:rFonts w:hint="eastAsia"/>
                <w:sz w:val="24"/>
                <w:lang w:eastAsia="zh-CN"/>
              </w:rPr>
              <w:t>歇驾寺村</w:t>
            </w:r>
            <w:r>
              <w:rPr>
                <w:rFonts w:hint="eastAsia"/>
                <w:sz w:val="24"/>
              </w:rPr>
              <w:t>6号</w:t>
            </w:r>
            <w:r>
              <w:rPr>
                <w:sz w:val="24"/>
              </w:rPr>
              <w:t>，主要建设</w:t>
            </w:r>
            <w:r>
              <w:rPr>
                <w:rFonts w:hint="eastAsia"/>
                <w:sz w:val="24"/>
              </w:rPr>
              <w:t>1条水洗砂、碎石生产线</w:t>
            </w:r>
            <w:r>
              <w:rPr>
                <w:sz w:val="24"/>
              </w:rPr>
              <w:t>，并购置水处理系统一套及相关配套设施。</w:t>
            </w:r>
            <w:r>
              <w:rPr>
                <w:kern w:val="24"/>
                <w:sz w:val="24"/>
              </w:rPr>
              <w:t>本项目主要建设内容见表2-1。</w:t>
            </w:r>
          </w:p>
          <w:p>
            <w:pPr>
              <w:pStyle w:val="59"/>
              <w:snapToGrid/>
              <w:spacing w:beforeLines="0" w:line="360" w:lineRule="auto"/>
              <w:rPr>
                <w:rFonts w:ascii="Times New Roman" w:hAnsi="Times New Roman" w:eastAsia="宋体"/>
                <w:b/>
                <w:sz w:val="21"/>
                <w:szCs w:val="21"/>
              </w:rPr>
            </w:pPr>
            <w:r>
              <w:rPr>
                <w:rFonts w:ascii="Times New Roman" w:hAnsi="Times New Roman" w:eastAsia="宋体"/>
                <w:b/>
                <w:sz w:val="21"/>
                <w:szCs w:val="21"/>
              </w:rPr>
              <w:t>表2-1   主要项目组成一览表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134"/>
              <w:gridCol w:w="5376"/>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75" w:type="dxa"/>
                  <w:gridSpan w:val="2"/>
                  <w:vAlign w:val="center"/>
                </w:tcPr>
                <w:p>
                  <w:pPr>
                    <w:widowControl/>
                    <w:jc w:val="center"/>
                    <w:rPr>
                      <w:rFonts w:eastAsiaTheme="minorEastAsia"/>
                      <w:kern w:val="0"/>
                      <w:szCs w:val="21"/>
                    </w:rPr>
                  </w:pPr>
                  <w:r>
                    <w:rPr>
                      <w:rFonts w:eastAsiaTheme="minorEastAsia"/>
                      <w:kern w:val="0"/>
                      <w:szCs w:val="21"/>
                    </w:rPr>
                    <w:t>项目名称</w:t>
                  </w:r>
                </w:p>
              </w:tc>
              <w:tc>
                <w:tcPr>
                  <w:tcW w:w="5376" w:type="dxa"/>
                  <w:vAlign w:val="center"/>
                </w:tcPr>
                <w:p>
                  <w:pPr>
                    <w:widowControl/>
                    <w:jc w:val="center"/>
                    <w:rPr>
                      <w:rFonts w:eastAsiaTheme="minorEastAsia"/>
                      <w:kern w:val="0"/>
                      <w:szCs w:val="21"/>
                    </w:rPr>
                  </w:pPr>
                  <w:r>
                    <w:rPr>
                      <w:rFonts w:eastAsiaTheme="minorEastAsia"/>
                      <w:kern w:val="0"/>
                      <w:szCs w:val="21"/>
                    </w:rPr>
                    <w:t>建设规模</w:t>
                  </w:r>
                </w:p>
              </w:tc>
              <w:tc>
                <w:tcPr>
                  <w:tcW w:w="860" w:type="dxa"/>
                  <w:vAlign w:val="center"/>
                </w:tcPr>
                <w:p>
                  <w:pPr>
                    <w:widowControl/>
                    <w:jc w:val="center"/>
                    <w:rPr>
                      <w:rFonts w:eastAsiaTheme="minorEastAsia"/>
                      <w:kern w:val="0"/>
                      <w:szCs w:val="21"/>
                    </w:rPr>
                  </w:pPr>
                  <w:r>
                    <w:rPr>
                      <w:rFonts w:eastAsiaTheme="minorEastAsia"/>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1" w:type="dxa"/>
                  <w:vAlign w:val="center"/>
                </w:tcPr>
                <w:p>
                  <w:pPr>
                    <w:widowControl/>
                    <w:jc w:val="center"/>
                    <w:rPr>
                      <w:rFonts w:eastAsiaTheme="minorEastAsia"/>
                      <w:kern w:val="0"/>
                      <w:szCs w:val="21"/>
                    </w:rPr>
                  </w:pPr>
                  <w:r>
                    <w:rPr>
                      <w:rFonts w:eastAsiaTheme="minorEastAsia"/>
                      <w:kern w:val="0"/>
                      <w:szCs w:val="21"/>
                    </w:rPr>
                    <w:t>主体工程</w:t>
                  </w:r>
                </w:p>
              </w:tc>
              <w:tc>
                <w:tcPr>
                  <w:tcW w:w="1134" w:type="dxa"/>
                  <w:vAlign w:val="center"/>
                </w:tcPr>
                <w:p>
                  <w:pPr>
                    <w:widowControl/>
                    <w:jc w:val="center"/>
                    <w:rPr>
                      <w:rFonts w:eastAsiaTheme="minorEastAsia"/>
                      <w:kern w:val="0"/>
                      <w:szCs w:val="21"/>
                    </w:rPr>
                  </w:pPr>
                  <w:r>
                    <w:rPr>
                      <w:rFonts w:eastAsiaTheme="minorEastAsia"/>
                      <w:kern w:val="0"/>
                      <w:szCs w:val="21"/>
                    </w:rPr>
                    <w:t>生产车间</w:t>
                  </w:r>
                </w:p>
              </w:tc>
              <w:tc>
                <w:tcPr>
                  <w:tcW w:w="5376" w:type="dxa"/>
                  <w:vAlign w:val="center"/>
                </w:tcPr>
                <w:p>
                  <w:pPr>
                    <w:widowControl/>
                    <w:jc w:val="left"/>
                    <w:rPr>
                      <w:rFonts w:eastAsiaTheme="minorEastAsia"/>
                      <w:kern w:val="0"/>
                      <w:szCs w:val="21"/>
                    </w:rPr>
                  </w:pPr>
                  <w:r>
                    <w:rPr>
                      <w:rFonts w:eastAsiaTheme="minorEastAsia"/>
                      <w:szCs w:val="21"/>
                    </w:rPr>
                    <w:t>2座，</w:t>
                  </w:r>
                  <w:r>
                    <w:rPr>
                      <w:rFonts w:hint="eastAsia" w:eastAsiaTheme="minorEastAsia"/>
                      <w:szCs w:val="21"/>
                    </w:rPr>
                    <w:t>1#厂房</w:t>
                  </w:r>
                  <w:r>
                    <w:rPr>
                      <w:rFonts w:eastAsiaTheme="minorEastAsia"/>
                      <w:szCs w:val="21"/>
                    </w:rPr>
                    <w:t>面积2200㎡，2</w:t>
                  </w:r>
                  <w:r>
                    <w:rPr>
                      <w:rFonts w:hint="eastAsia" w:eastAsiaTheme="minorEastAsia"/>
                      <w:szCs w:val="21"/>
                    </w:rPr>
                    <w:t>#厂房</w:t>
                  </w:r>
                  <w:r>
                    <w:rPr>
                      <w:rFonts w:eastAsiaTheme="minorEastAsia"/>
                      <w:szCs w:val="21"/>
                    </w:rPr>
                    <w:t xml:space="preserve">面积1200㎡，钢架结构厂房，高度10米，主要设置振动给料机，颚式破碎机，反击式破碎机，复合圆锥机，圆振动筛， 洗砂机，脱水回收机，板式压滤机，输送带，污水处理罐等  </w:t>
                  </w:r>
                </w:p>
              </w:tc>
              <w:tc>
                <w:tcPr>
                  <w:tcW w:w="860" w:type="dxa"/>
                  <w:vAlign w:val="center"/>
                </w:tcPr>
                <w:p>
                  <w:pPr>
                    <w:widowControl/>
                    <w:jc w:val="center"/>
                    <w:rPr>
                      <w:rFonts w:eastAsiaTheme="minorEastAsia"/>
                      <w:kern w:val="0"/>
                      <w:szCs w:val="21"/>
                    </w:rPr>
                  </w:pPr>
                  <w:r>
                    <w:rPr>
                      <w:rFonts w:hint="eastAsia" w:eastAsiaTheme="minorEastAsia"/>
                      <w:kern w:val="0"/>
                      <w:szCs w:val="21"/>
                    </w:rPr>
                    <w:t>1#厂房依托，2#厂房</w:t>
                  </w:r>
                  <w:r>
                    <w:rPr>
                      <w:rFonts w:eastAsiaTheme="minorEastAsia"/>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1" w:type="dxa"/>
                  <w:vMerge w:val="restart"/>
                  <w:vAlign w:val="center"/>
                </w:tcPr>
                <w:p>
                  <w:pPr>
                    <w:widowControl/>
                    <w:jc w:val="center"/>
                    <w:rPr>
                      <w:rFonts w:eastAsiaTheme="minorEastAsia"/>
                      <w:kern w:val="0"/>
                      <w:szCs w:val="21"/>
                    </w:rPr>
                  </w:pPr>
                  <w:r>
                    <w:rPr>
                      <w:rFonts w:eastAsiaTheme="minorEastAsia"/>
                      <w:kern w:val="0"/>
                      <w:szCs w:val="21"/>
                    </w:rPr>
                    <w:t>储运工程</w:t>
                  </w:r>
                </w:p>
              </w:tc>
              <w:tc>
                <w:tcPr>
                  <w:tcW w:w="1134" w:type="dxa"/>
                  <w:vAlign w:val="center"/>
                </w:tcPr>
                <w:p>
                  <w:pPr>
                    <w:widowControl/>
                    <w:jc w:val="center"/>
                    <w:rPr>
                      <w:rFonts w:eastAsiaTheme="minorEastAsia"/>
                      <w:kern w:val="0"/>
                      <w:szCs w:val="21"/>
                    </w:rPr>
                  </w:pPr>
                  <w:r>
                    <w:rPr>
                      <w:rFonts w:eastAsiaTheme="minorEastAsia"/>
                      <w:kern w:val="0"/>
                      <w:szCs w:val="21"/>
                    </w:rPr>
                    <w:t>原料堆放区</w:t>
                  </w:r>
                </w:p>
              </w:tc>
              <w:tc>
                <w:tcPr>
                  <w:tcW w:w="5376" w:type="dxa"/>
                  <w:shd w:val="clear" w:color="auto" w:fill="auto"/>
                  <w:vAlign w:val="center"/>
                </w:tcPr>
                <w:p>
                  <w:pPr>
                    <w:widowControl/>
                    <w:jc w:val="left"/>
                    <w:rPr>
                      <w:rFonts w:eastAsiaTheme="minorEastAsia"/>
                      <w:szCs w:val="21"/>
                    </w:rPr>
                  </w:pPr>
                  <w:r>
                    <w:rPr>
                      <w:rFonts w:hint="eastAsia" w:eastAsiaTheme="minorEastAsia"/>
                      <w:szCs w:val="21"/>
                    </w:rPr>
                    <w:t>位于1#厂房</w:t>
                  </w:r>
                  <w:r>
                    <w:rPr>
                      <w:rFonts w:eastAsiaTheme="minorEastAsia"/>
                      <w:szCs w:val="21"/>
                    </w:rPr>
                    <w:t>，主要存储原料，设置</w:t>
                  </w:r>
                  <w:r>
                    <w:rPr>
                      <w:rFonts w:hint="eastAsia" w:eastAsiaTheme="minorEastAsia"/>
                      <w:szCs w:val="21"/>
                    </w:rPr>
                    <w:t>雾化喷淋设施</w:t>
                  </w:r>
                </w:p>
              </w:tc>
              <w:tc>
                <w:tcPr>
                  <w:tcW w:w="860" w:type="dxa"/>
                  <w:vAlign w:val="center"/>
                </w:tcPr>
                <w:p>
                  <w:pPr>
                    <w:widowControl/>
                    <w:jc w:val="center"/>
                    <w:rPr>
                      <w:rFonts w:eastAsiaTheme="minorEastAsia"/>
                      <w:kern w:val="0"/>
                      <w:szCs w:val="21"/>
                    </w:rPr>
                  </w:pPr>
                  <w:r>
                    <w:rPr>
                      <w:rFonts w:eastAsiaTheme="minorEastAsia"/>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1" w:type="dxa"/>
                  <w:vMerge w:val="continue"/>
                  <w:vAlign w:val="center"/>
                </w:tcPr>
                <w:p>
                  <w:pPr>
                    <w:widowControl/>
                    <w:jc w:val="center"/>
                    <w:rPr>
                      <w:rFonts w:eastAsiaTheme="minorEastAsia"/>
                      <w:kern w:val="0"/>
                      <w:szCs w:val="21"/>
                    </w:rPr>
                  </w:pPr>
                </w:p>
              </w:tc>
              <w:tc>
                <w:tcPr>
                  <w:tcW w:w="1134" w:type="dxa"/>
                  <w:vAlign w:val="center"/>
                </w:tcPr>
                <w:p>
                  <w:pPr>
                    <w:widowControl/>
                    <w:jc w:val="center"/>
                    <w:rPr>
                      <w:rFonts w:eastAsiaTheme="minorEastAsia"/>
                      <w:kern w:val="0"/>
                      <w:szCs w:val="21"/>
                    </w:rPr>
                  </w:pPr>
                  <w:r>
                    <w:rPr>
                      <w:rFonts w:eastAsiaTheme="minorEastAsia"/>
                      <w:kern w:val="0"/>
                      <w:szCs w:val="21"/>
                    </w:rPr>
                    <w:t>成品堆放区</w:t>
                  </w:r>
                </w:p>
              </w:tc>
              <w:tc>
                <w:tcPr>
                  <w:tcW w:w="5376" w:type="dxa"/>
                  <w:shd w:val="clear" w:color="auto" w:fill="auto"/>
                  <w:vAlign w:val="center"/>
                </w:tcPr>
                <w:p>
                  <w:pPr>
                    <w:widowControl/>
                    <w:jc w:val="left"/>
                    <w:rPr>
                      <w:rFonts w:eastAsiaTheme="minorEastAsia"/>
                      <w:szCs w:val="21"/>
                    </w:rPr>
                  </w:pPr>
                  <w:r>
                    <w:rPr>
                      <w:rFonts w:hint="eastAsia" w:eastAsiaTheme="minorEastAsia"/>
                      <w:szCs w:val="21"/>
                    </w:rPr>
                    <w:t>位于</w:t>
                  </w:r>
                  <w:r>
                    <w:rPr>
                      <w:rFonts w:eastAsiaTheme="minorEastAsia"/>
                      <w:szCs w:val="21"/>
                    </w:rPr>
                    <w:t>2</w:t>
                  </w:r>
                  <w:r>
                    <w:rPr>
                      <w:rFonts w:hint="eastAsia" w:eastAsiaTheme="minorEastAsia"/>
                      <w:szCs w:val="21"/>
                    </w:rPr>
                    <w:t>#厂房，主要存储成品，设置雾化喷淋设施</w:t>
                  </w:r>
                </w:p>
              </w:tc>
              <w:tc>
                <w:tcPr>
                  <w:tcW w:w="860" w:type="dxa"/>
                  <w:vAlign w:val="center"/>
                </w:tcPr>
                <w:p>
                  <w:pPr>
                    <w:widowControl/>
                    <w:jc w:val="center"/>
                    <w:rPr>
                      <w:rFonts w:eastAsiaTheme="minorEastAsia"/>
                      <w:kern w:val="0"/>
                      <w:szCs w:val="21"/>
                    </w:rPr>
                  </w:pPr>
                  <w:r>
                    <w:rPr>
                      <w:rFonts w:eastAsiaTheme="minorEastAsia"/>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1" w:type="dxa"/>
                  <w:vMerge w:val="continue"/>
                  <w:vAlign w:val="center"/>
                </w:tcPr>
                <w:p>
                  <w:pPr>
                    <w:widowControl/>
                    <w:jc w:val="center"/>
                    <w:rPr>
                      <w:rFonts w:eastAsiaTheme="minorEastAsia"/>
                      <w:kern w:val="0"/>
                      <w:szCs w:val="21"/>
                    </w:rPr>
                  </w:pPr>
                </w:p>
              </w:tc>
              <w:tc>
                <w:tcPr>
                  <w:tcW w:w="1134" w:type="dxa"/>
                  <w:vAlign w:val="center"/>
                </w:tcPr>
                <w:p>
                  <w:pPr>
                    <w:jc w:val="center"/>
                    <w:rPr>
                      <w:rFonts w:eastAsiaTheme="minorEastAsia"/>
                      <w:kern w:val="0"/>
                      <w:szCs w:val="21"/>
                    </w:rPr>
                  </w:pPr>
                  <w:r>
                    <w:rPr>
                      <w:rFonts w:eastAsiaTheme="minorEastAsia"/>
                      <w:szCs w:val="21"/>
                    </w:rPr>
                    <w:t>运输</w:t>
                  </w:r>
                </w:p>
              </w:tc>
              <w:tc>
                <w:tcPr>
                  <w:tcW w:w="5376" w:type="dxa"/>
                  <w:vAlign w:val="center"/>
                </w:tcPr>
                <w:p>
                  <w:pPr>
                    <w:rPr>
                      <w:rFonts w:eastAsiaTheme="minorEastAsia"/>
                      <w:szCs w:val="21"/>
                    </w:rPr>
                  </w:pPr>
                  <w:r>
                    <w:rPr>
                      <w:rFonts w:eastAsiaTheme="minorEastAsia"/>
                      <w:szCs w:val="21"/>
                    </w:rPr>
                    <w:t>项目原料和产品均使用封闭式货车运输。</w:t>
                  </w:r>
                </w:p>
              </w:tc>
              <w:tc>
                <w:tcPr>
                  <w:tcW w:w="860" w:type="dxa"/>
                  <w:vAlign w:val="center"/>
                </w:tcPr>
                <w:p>
                  <w:pPr>
                    <w:widowControl/>
                    <w:jc w:val="center"/>
                    <w:rPr>
                      <w:rFonts w:eastAsiaTheme="minorEastAsia"/>
                      <w:kern w:val="0"/>
                      <w:szCs w:val="21"/>
                    </w:rPr>
                  </w:pPr>
                  <w:r>
                    <w:rPr>
                      <w:rFonts w:eastAsiaTheme="minorEastAsia"/>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1" w:type="dxa"/>
                  <w:vMerge w:val="restart"/>
                  <w:vAlign w:val="center"/>
                </w:tcPr>
                <w:p>
                  <w:pPr>
                    <w:widowControl/>
                    <w:jc w:val="center"/>
                    <w:rPr>
                      <w:rFonts w:eastAsiaTheme="minorEastAsia"/>
                      <w:kern w:val="0"/>
                      <w:szCs w:val="21"/>
                    </w:rPr>
                  </w:pPr>
                  <w:r>
                    <w:rPr>
                      <w:rFonts w:eastAsiaTheme="minorEastAsia"/>
                      <w:kern w:val="0"/>
                      <w:szCs w:val="21"/>
                    </w:rPr>
                    <w:t>辅助工程</w:t>
                  </w:r>
                </w:p>
              </w:tc>
              <w:tc>
                <w:tcPr>
                  <w:tcW w:w="1134" w:type="dxa"/>
                  <w:vAlign w:val="center"/>
                </w:tcPr>
                <w:p>
                  <w:pPr>
                    <w:widowControl/>
                    <w:jc w:val="center"/>
                    <w:rPr>
                      <w:rFonts w:eastAsiaTheme="minorEastAsia"/>
                      <w:kern w:val="0"/>
                      <w:szCs w:val="21"/>
                    </w:rPr>
                  </w:pPr>
                  <w:r>
                    <w:rPr>
                      <w:rFonts w:eastAsiaTheme="minorEastAsia"/>
                      <w:kern w:val="0"/>
                      <w:szCs w:val="21"/>
                    </w:rPr>
                    <w:t>办公</w:t>
                  </w:r>
                </w:p>
              </w:tc>
              <w:tc>
                <w:tcPr>
                  <w:tcW w:w="5376" w:type="dxa"/>
                  <w:vAlign w:val="center"/>
                </w:tcPr>
                <w:p>
                  <w:pPr>
                    <w:widowControl/>
                    <w:jc w:val="left"/>
                    <w:rPr>
                      <w:rFonts w:eastAsiaTheme="minorEastAsia"/>
                      <w:kern w:val="0"/>
                      <w:szCs w:val="21"/>
                      <w:highlight w:val="cyan"/>
                    </w:rPr>
                  </w:pPr>
                  <w:r>
                    <w:rPr>
                      <w:rFonts w:eastAsiaTheme="minorEastAsia"/>
                      <w:snapToGrid w:val="0"/>
                      <w:szCs w:val="21"/>
                    </w:rPr>
                    <w:t>占地110</w:t>
                  </w:r>
                  <w:r>
                    <w:rPr>
                      <w:rFonts w:eastAsiaTheme="minorEastAsia"/>
                      <w:szCs w:val="21"/>
                    </w:rPr>
                    <w:t>㎡</w:t>
                  </w:r>
                  <w:r>
                    <w:rPr>
                      <w:rFonts w:eastAsiaTheme="minorEastAsia"/>
                      <w:snapToGrid w:val="0"/>
                      <w:szCs w:val="21"/>
                    </w:rPr>
                    <w:t>，主要为砖混结构，用于办公</w:t>
                  </w:r>
                </w:p>
              </w:tc>
              <w:tc>
                <w:tcPr>
                  <w:tcW w:w="860" w:type="dxa"/>
                  <w:vAlign w:val="center"/>
                </w:tcPr>
                <w:p>
                  <w:pPr>
                    <w:widowControl/>
                    <w:jc w:val="center"/>
                    <w:rPr>
                      <w:rFonts w:eastAsiaTheme="minorEastAsia"/>
                      <w:kern w:val="0"/>
                      <w:szCs w:val="21"/>
                      <w:highlight w:val="cyan"/>
                    </w:rPr>
                  </w:pPr>
                  <w:r>
                    <w:rPr>
                      <w:rFonts w:eastAsiaTheme="minorEastAsia"/>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1" w:type="dxa"/>
                  <w:vMerge w:val="continue"/>
                  <w:vAlign w:val="center"/>
                </w:tcPr>
                <w:p>
                  <w:pPr>
                    <w:widowControl/>
                    <w:jc w:val="center"/>
                    <w:rPr>
                      <w:rFonts w:eastAsiaTheme="minorEastAsia"/>
                      <w:kern w:val="0"/>
                      <w:szCs w:val="21"/>
                    </w:rPr>
                  </w:pPr>
                </w:p>
              </w:tc>
              <w:tc>
                <w:tcPr>
                  <w:tcW w:w="1134" w:type="dxa"/>
                  <w:vAlign w:val="center"/>
                </w:tcPr>
                <w:p>
                  <w:pPr>
                    <w:jc w:val="center"/>
                    <w:rPr>
                      <w:rFonts w:eastAsiaTheme="minorEastAsia"/>
                      <w:szCs w:val="21"/>
                    </w:rPr>
                  </w:pPr>
                  <w:r>
                    <w:rPr>
                      <w:rFonts w:hint="eastAsia" w:eastAsiaTheme="minorEastAsia"/>
                      <w:szCs w:val="21"/>
                    </w:rPr>
                    <w:t>休息</w:t>
                  </w:r>
                  <w:r>
                    <w:rPr>
                      <w:rFonts w:eastAsiaTheme="minorEastAsia"/>
                      <w:szCs w:val="21"/>
                    </w:rPr>
                    <w:t>区</w:t>
                  </w:r>
                </w:p>
              </w:tc>
              <w:tc>
                <w:tcPr>
                  <w:tcW w:w="5376" w:type="dxa"/>
                  <w:vAlign w:val="center"/>
                </w:tcPr>
                <w:p>
                  <w:pPr>
                    <w:rPr>
                      <w:rFonts w:eastAsiaTheme="minorEastAsia"/>
                      <w:szCs w:val="21"/>
                    </w:rPr>
                  </w:pPr>
                  <w:r>
                    <w:rPr>
                      <w:rFonts w:eastAsiaTheme="minorEastAsia"/>
                      <w:snapToGrid w:val="0"/>
                      <w:szCs w:val="21"/>
                    </w:rPr>
                    <w:t>占地</w:t>
                  </w:r>
                  <w:r>
                    <w:rPr>
                      <w:rFonts w:eastAsiaTheme="minorEastAsia"/>
                      <w:szCs w:val="21"/>
                    </w:rPr>
                    <w:t>120㎡，主要为集装箱房屋，提供日常</w:t>
                  </w:r>
                  <w:r>
                    <w:rPr>
                      <w:rFonts w:hint="eastAsia" w:eastAsiaTheme="minorEastAsia"/>
                      <w:szCs w:val="21"/>
                    </w:rPr>
                    <w:t>休息场所</w:t>
                  </w:r>
                </w:p>
              </w:tc>
              <w:tc>
                <w:tcPr>
                  <w:tcW w:w="860" w:type="dxa"/>
                  <w:vAlign w:val="center"/>
                </w:tcPr>
                <w:p>
                  <w:pPr>
                    <w:pStyle w:val="49"/>
                    <w:adjustRightInd/>
                    <w:snapToGrid/>
                    <w:spacing w:beforeLines="0" w:afterLines="0" w:line="240" w:lineRule="auto"/>
                    <w:ind w:left="0" w:leftChars="0" w:right="0" w:rightChars="0"/>
                    <w:rPr>
                      <w:rFonts w:asci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1" w:type="dxa"/>
                  <w:vMerge w:val="continue"/>
                  <w:vAlign w:val="center"/>
                </w:tcPr>
                <w:p>
                  <w:pPr>
                    <w:widowControl/>
                    <w:jc w:val="center"/>
                    <w:rPr>
                      <w:rFonts w:eastAsiaTheme="minorEastAsia"/>
                      <w:kern w:val="0"/>
                      <w:szCs w:val="21"/>
                    </w:rPr>
                  </w:pPr>
                </w:p>
              </w:tc>
              <w:tc>
                <w:tcPr>
                  <w:tcW w:w="1134" w:type="dxa"/>
                  <w:vAlign w:val="center"/>
                </w:tcPr>
                <w:p>
                  <w:pPr>
                    <w:jc w:val="center"/>
                    <w:rPr>
                      <w:rFonts w:eastAsiaTheme="minorEastAsia"/>
                      <w:kern w:val="0"/>
                      <w:szCs w:val="21"/>
                    </w:rPr>
                  </w:pPr>
                  <w:r>
                    <w:rPr>
                      <w:rFonts w:eastAsiaTheme="minorEastAsia"/>
                      <w:szCs w:val="21"/>
                    </w:rPr>
                    <w:t>地磅</w:t>
                  </w:r>
                </w:p>
              </w:tc>
              <w:tc>
                <w:tcPr>
                  <w:tcW w:w="5376" w:type="dxa"/>
                  <w:vAlign w:val="center"/>
                </w:tcPr>
                <w:p>
                  <w:pPr>
                    <w:rPr>
                      <w:rFonts w:eastAsiaTheme="minorEastAsia"/>
                      <w:kern w:val="0"/>
                      <w:szCs w:val="21"/>
                    </w:rPr>
                  </w:pPr>
                  <w:r>
                    <w:rPr>
                      <w:rFonts w:eastAsiaTheme="minorEastAsia"/>
                      <w:szCs w:val="21"/>
                    </w:rPr>
                    <w:t>位于项目入口处</w:t>
                  </w:r>
                </w:p>
              </w:tc>
              <w:tc>
                <w:tcPr>
                  <w:tcW w:w="860" w:type="dxa"/>
                  <w:vAlign w:val="center"/>
                </w:tcPr>
                <w:p>
                  <w:pPr>
                    <w:pStyle w:val="49"/>
                    <w:adjustRightInd/>
                    <w:snapToGrid/>
                    <w:spacing w:beforeLines="0" w:afterLines="0" w:line="240" w:lineRule="auto"/>
                    <w:ind w:left="0" w:leftChars="0" w:right="0" w:rightChars="0"/>
                    <w:rPr>
                      <w:rFonts w:ascii="Times New Roman" w:eastAsiaTheme="minorEastAsia"/>
                      <w:szCs w:val="21"/>
                      <w:highlight w:val="cyan"/>
                    </w:rPr>
                  </w:pPr>
                  <w:r>
                    <w:rPr>
                      <w:rFonts w:ascii="Times New Roman" w:eastAsiaTheme="minorEastAsia"/>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1" w:type="dxa"/>
                  <w:vMerge w:val="continue"/>
                  <w:vAlign w:val="center"/>
                </w:tcPr>
                <w:p>
                  <w:pPr>
                    <w:widowControl/>
                    <w:jc w:val="center"/>
                    <w:rPr>
                      <w:rFonts w:eastAsiaTheme="minorEastAsia"/>
                      <w:kern w:val="0"/>
                      <w:szCs w:val="21"/>
                      <w:highlight w:val="cyan"/>
                    </w:rPr>
                  </w:pPr>
                </w:p>
              </w:tc>
              <w:tc>
                <w:tcPr>
                  <w:tcW w:w="1134" w:type="dxa"/>
                  <w:vAlign w:val="center"/>
                </w:tcPr>
                <w:p>
                  <w:pPr>
                    <w:widowControl/>
                    <w:jc w:val="center"/>
                    <w:rPr>
                      <w:rFonts w:eastAsiaTheme="minorEastAsia"/>
                      <w:kern w:val="0"/>
                      <w:szCs w:val="21"/>
                    </w:rPr>
                  </w:pPr>
                  <w:r>
                    <w:rPr>
                      <w:rFonts w:eastAsiaTheme="minorEastAsia"/>
                      <w:kern w:val="0"/>
                      <w:szCs w:val="21"/>
                    </w:rPr>
                    <w:t>道路硬化</w:t>
                  </w:r>
                </w:p>
              </w:tc>
              <w:tc>
                <w:tcPr>
                  <w:tcW w:w="5376" w:type="dxa"/>
                  <w:vAlign w:val="center"/>
                </w:tcPr>
                <w:p>
                  <w:pPr>
                    <w:widowControl/>
                    <w:jc w:val="left"/>
                    <w:rPr>
                      <w:rFonts w:eastAsiaTheme="minorEastAsia"/>
                      <w:kern w:val="0"/>
                      <w:szCs w:val="21"/>
                    </w:rPr>
                  </w:pPr>
                  <w:r>
                    <w:rPr>
                      <w:rFonts w:eastAsiaTheme="minorEastAsia"/>
                      <w:kern w:val="0"/>
                      <w:szCs w:val="21"/>
                    </w:rPr>
                    <w:t>厂区地面、道路硬化处理</w:t>
                  </w:r>
                </w:p>
              </w:tc>
              <w:tc>
                <w:tcPr>
                  <w:tcW w:w="860" w:type="dxa"/>
                  <w:vAlign w:val="center"/>
                </w:tcPr>
                <w:p>
                  <w:pPr>
                    <w:widowControl/>
                    <w:jc w:val="center"/>
                    <w:rPr>
                      <w:rFonts w:eastAsiaTheme="minorEastAsia"/>
                      <w:kern w:val="0"/>
                      <w:szCs w:val="21"/>
                      <w:highlight w:val="cyan"/>
                    </w:rPr>
                  </w:pPr>
                  <w:r>
                    <w:rPr>
                      <w:rFonts w:eastAsiaTheme="minorEastAsia"/>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1" w:type="dxa"/>
                  <w:vMerge w:val="restart"/>
                  <w:vAlign w:val="center"/>
                </w:tcPr>
                <w:p>
                  <w:pPr>
                    <w:widowControl/>
                    <w:jc w:val="center"/>
                    <w:rPr>
                      <w:rFonts w:eastAsiaTheme="minorEastAsia"/>
                      <w:kern w:val="0"/>
                      <w:szCs w:val="21"/>
                      <w:highlight w:val="cyan"/>
                    </w:rPr>
                  </w:pPr>
                  <w:r>
                    <w:rPr>
                      <w:rFonts w:eastAsiaTheme="minorEastAsia"/>
                      <w:kern w:val="0"/>
                      <w:szCs w:val="21"/>
                    </w:rPr>
                    <w:t>公用工程</w:t>
                  </w:r>
                </w:p>
              </w:tc>
              <w:tc>
                <w:tcPr>
                  <w:tcW w:w="1134" w:type="dxa"/>
                  <w:vAlign w:val="center"/>
                </w:tcPr>
                <w:p>
                  <w:pPr>
                    <w:widowControl/>
                    <w:jc w:val="center"/>
                    <w:rPr>
                      <w:rFonts w:eastAsiaTheme="minorEastAsia"/>
                      <w:kern w:val="0"/>
                      <w:szCs w:val="21"/>
                    </w:rPr>
                  </w:pPr>
                  <w:r>
                    <w:rPr>
                      <w:rFonts w:eastAsiaTheme="minorEastAsia"/>
                      <w:kern w:val="0"/>
                      <w:szCs w:val="21"/>
                    </w:rPr>
                    <w:t>给水</w:t>
                  </w:r>
                </w:p>
              </w:tc>
              <w:tc>
                <w:tcPr>
                  <w:tcW w:w="5376" w:type="dxa"/>
                  <w:vAlign w:val="center"/>
                </w:tcPr>
                <w:p>
                  <w:pPr>
                    <w:widowControl/>
                    <w:jc w:val="left"/>
                    <w:rPr>
                      <w:rFonts w:eastAsiaTheme="minorEastAsia"/>
                      <w:kern w:val="0"/>
                      <w:szCs w:val="21"/>
                    </w:rPr>
                  </w:pPr>
                  <w:r>
                    <w:rPr>
                      <w:rFonts w:eastAsiaTheme="minorEastAsia"/>
                      <w:kern w:val="0"/>
                      <w:szCs w:val="21"/>
                    </w:rPr>
                    <w:t>项目供水由</w:t>
                  </w:r>
                  <w:r>
                    <w:rPr>
                      <w:rFonts w:hint="eastAsia" w:eastAsiaTheme="minorEastAsia"/>
                      <w:kern w:val="0"/>
                      <w:szCs w:val="21"/>
                      <w:lang w:eastAsia="zh-CN"/>
                    </w:rPr>
                    <w:t>歇驾寺村</w:t>
                  </w:r>
                  <w:r>
                    <w:rPr>
                      <w:rFonts w:hint="eastAsia" w:eastAsiaTheme="minorEastAsia"/>
                      <w:kern w:val="0"/>
                      <w:szCs w:val="21"/>
                    </w:rPr>
                    <w:t>自来水</w:t>
                  </w:r>
                  <w:r>
                    <w:rPr>
                      <w:rFonts w:eastAsiaTheme="minorEastAsia"/>
                      <w:kern w:val="0"/>
                      <w:szCs w:val="21"/>
                    </w:rPr>
                    <w:t>供应</w:t>
                  </w:r>
                </w:p>
              </w:tc>
              <w:tc>
                <w:tcPr>
                  <w:tcW w:w="860" w:type="dxa"/>
                  <w:vAlign w:val="center"/>
                </w:tcPr>
                <w:p>
                  <w:pPr>
                    <w:widowControl/>
                    <w:jc w:val="center"/>
                    <w:rPr>
                      <w:rFonts w:eastAsiaTheme="minorEastAsia"/>
                      <w:kern w:val="0"/>
                      <w:szCs w:val="21"/>
                      <w:highlight w:val="cyan"/>
                    </w:rPr>
                  </w:pPr>
                  <w:r>
                    <w:rPr>
                      <w:rFonts w:eastAsiaTheme="minorEastAsia"/>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1" w:type="dxa"/>
                  <w:vMerge w:val="continue"/>
                  <w:vAlign w:val="center"/>
                </w:tcPr>
                <w:p>
                  <w:pPr>
                    <w:widowControl/>
                    <w:jc w:val="center"/>
                    <w:rPr>
                      <w:rFonts w:eastAsiaTheme="minorEastAsia"/>
                      <w:kern w:val="0"/>
                      <w:szCs w:val="21"/>
                      <w:highlight w:val="cyan"/>
                    </w:rPr>
                  </w:pPr>
                </w:p>
              </w:tc>
              <w:tc>
                <w:tcPr>
                  <w:tcW w:w="1134" w:type="dxa"/>
                  <w:vAlign w:val="center"/>
                </w:tcPr>
                <w:p>
                  <w:pPr>
                    <w:widowControl/>
                    <w:jc w:val="center"/>
                    <w:rPr>
                      <w:rFonts w:eastAsiaTheme="minorEastAsia"/>
                      <w:kern w:val="0"/>
                      <w:szCs w:val="21"/>
                    </w:rPr>
                  </w:pPr>
                  <w:r>
                    <w:rPr>
                      <w:rFonts w:eastAsiaTheme="minorEastAsia"/>
                      <w:kern w:val="0"/>
                      <w:szCs w:val="21"/>
                    </w:rPr>
                    <w:t>排水</w:t>
                  </w:r>
                </w:p>
              </w:tc>
              <w:tc>
                <w:tcPr>
                  <w:tcW w:w="5376" w:type="dxa"/>
                  <w:vAlign w:val="center"/>
                </w:tcPr>
                <w:p>
                  <w:pPr>
                    <w:widowControl/>
                    <w:rPr>
                      <w:rFonts w:eastAsiaTheme="minorEastAsia"/>
                      <w:kern w:val="0"/>
                      <w:szCs w:val="21"/>
                    </w:rPr>
                  </w:pPr>
                  <w:r>
                    <w:rPr>
                      <w:rFonts w:eastAsiaTheme="minorEastAsia"/>
                      <w:szCs w:val="21"/>
                    </w:rPr>
                    <w:t>生活污水</w:t>
                  </w:r>
                  <w:r>
                    <w:rPr>
                      <w:rFonts w:hint="eastAsia" w:eastAsiaTheme="minorEastAsia"/>
                      <w:szCs w:val="21"/>
                    </w:rPr>
                    <w:t>进入防渗旱厕，定期</w:t>
                  </w:r>
                  <w:r>
                    <w:rPr>
                      <w:rFonts w:eastAsiaTheme="minorEastAsia"/>
                      <w:szCs w:val="21"/>
                    </w:rPr>
                    <w:t>清掏肥田；洗车废水经沉淀池（V=5m</w:t>
                  </w:r>
                  <w:r>
                    <w:rPr>
                      <w:rFonts w:eastAsiaTheme="minorEastAsia"/>
                      <w:szCs w:val="21"/>
                      <w:vertAlign w:val="superscript"/>
                    </w:rPr>
                    <w:t>3</w:t>
                  </w:r>
                  <w:r>
                    <w:rPr>
                      <w:rFonts w:eastAsiaTheme="minorEastAsia"/>
                      <w:szCs w:val="21"/>
                    </w:rPr>
                    <w:t>）处理后回用于洗车；洗砂废水经污水处理设施（2</w:t>
                  </w:r>
                  <w:r>
                    <w:rPr>
                      <w:rFonts w:hint="eastAsia" w:eastAsiaTheme="minorEastAsia"/>
                      <w:szCs w:val="21"/>
                    </w:rPr>
                    <w:t>个污水处理罐</w:t>
                  </w:r>
                  <w:r>
                    <w:rPr>
                      <w:rFonts w:eastAsiaTheme="minorEastAsia"/>
                      <w:szCs w:val="21"/>
                    </w:rPr>
                    <w:t>）处理后，</w:t>
                  </w:r>
                  <w:r>
                    <w:rPr>
                      <w:rFonts w:hint="eastAsia" w:eastAsiaTheme="minorEastAsia"/>
                      <w:szCs w:val="21"/>
                    </w:rPr>
                    <w:t>回用于生产，</w:t>
                  </w:r>
                  <w:r>
                    <w:rPr>
                      <w:rFonts w:eastAsiaTheme="minorEastAsia"/>
                      <w:szCs w:val="21"/>
                    </w:rPr>
                    <w:t>不外排。</w:t>
                  </w:r>
                </w:p>
              </w:tc>
              <w:tc>
                <w:tcPr>
                  <w:tcW w:w="860" w:type="dxa"/>
                  <w:vAlign w:val="center"/>
                </w:tcPr>
                <w:p>
                  <w:pPr>
                    <w:widowControl/>
                    <w:jc w:val="center"/>
                    <w:rPr>
                      <w:rFonts w:eastAsiaTheme="minorEastAsia"/>
                      <w:kern w:val="0"/>
                      <w:szCs w:val="21"/>
                      <w:highlight w:val="cyan"/>
                    </w:rPr>
                  </w:pPr>
                  <w:r>
                    <w:rPr>
                      <w:rFonts w:eastAsiaTheme="minorEastAsia"/>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1" w:type="dxa"/>
                  <w:vMerge w:val="continue"/>
                  <w:vAlign w:val="center"/>
                </w:tcPr>
                <w:p>
                  <w:pPr>
                    <w:widowControl/>
                    <w:jc w:val="center"/>
                    <w:rPr>
                      <w:rFonts w:eastAsiaTheme="minorEastAsia"/>
                      <w:kern w:val="0"/>
                      <w:szCs w:val="21"/>
                      <w:highlight w:val="cyan"/>
                    </w:rPr>
                  </w:pPr>
                </w:p>
              </w:tc>
              <w:tc>
                <w:tcPr>
                  <w:tcW w:w="1134" w:type="dxa"/>
                  <w:vAlign w:val="center"/>
                </w:tcPr>
                <w:p>
                  <w:pPr>
                    <w:widowControl/>
                    <w:jc w:val="center"/>
                    <w:rPr>
                      <w:rFonts w:eastAsiaTheme="minorEastAsia"/>
                      <w:kern w:val="0"/>
                      <w:szCs w:val="21"/>
                    </w:rPr>
                  </w:pPr>
                  <w:r>
                    <w:rPr>
                      <w:rFonts w:eastAsiaTheme="minorEastAsia"/>
                      <w:kern w:val="0"/>
                      <w:szCs w:val="21"/>
                    </w:rPr>
                    <w:t>供电</w:t>
                  </w:r>
                </w:p>
              </w:tc>
              <w:tc>
                <w:tcPr>
                  <w:tcW w:w="5376" w:type="dxa"/>
                  <w:vAlign w:val="center"/>
                </w:tcPr>
                <w:p>
                  <w:pPr>
                    <w:widowControl/>
                    <w:jc w:val="left"/>
                    <w:rPr>
                      <w:rFonts w:eastAsiaTheme="minorEastAsia"/>
                      <w:kern w:val="0"/>
                      <w:szCs w:val="21"/>
                    </w:rPr>
                  </w:pPr>
                  <w:r>
                    <w:rPr>
                      <w:rFonts w:eastAsiaTheme="minorEastAsia"/>
                      <w:kern w:val="0"/>
                      <w:szCs w:val="21"/>
                    </w:rPr>
                    <w:t>项目供电由当地供电系统供应</w:t>
                  </w:r>
                </w:p>
              </w:tc>
              <w:tc>
                <w:tcPr>
                  <w:tcW w:w="860" w:type="dxa"/>
                  <w:vAlign w:val="center"/>
                </w:tcPr>
                <w:p>
                  <w:pPr>
                    <w:widowControl/>
                    <w:jc w:val="center"/>
                    <w:rPr>
                      <w:rFonts w:eastAsiaTheme="minorEastAsia"/>
                      <w:kern w:val="0"/>
                      <w:szCs w:val="21"/>
                      <w:highlight w:val="cyan"/>
                    </w:rPr>
                  </w:pPr>
                  <w:r>
                    <w:rPr>
                      <w:rFonts w:eastAsiaTheme="minorEastAsia"/>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1" w:type="dxa"/>
                  <w:vMerge w:val="continue"/>
                  <w:vAlign w:val="center"/>
                </w:tcPr>
                <w:p>
                  <w:pPr>
                    <w:widowControl/>
                    <w:jc w:val="center"/>
                    <w:rPr>
                      <w:rFonts w:eastAsiaTheme="minorEastAsia"/>
                      <w:kern w:val="0"/>
                      <w:szCs w:val="21"/>
                      <w:highlight w:val="cyan"/>
                    </w:rPr>
                  </w:pPr>
                </w:p>
              </w:tc>
              <w:tc>
                <w:tcPr>
                  <w:tcW w:w="1134" w:type="dxa"/>
                  <w:vAlign w:val="center"/>
                </w:tcPr>
                <w:p>
                  <w:pPr>
                    <w:widowControl/>
                    <w:jc w:val="center"/>
                    <w:rPr>
                      <w:rFonts w:eastAsiaTheme="minorEastAsia"/>
                      <w:kern w:val="0"/>
                      <w:szCs w:val="21"/>
                    </w:rPr>
                  </w:pPr>
                  <w:r>
                    <w:rPr>
                      <w:rFonts w:eastAsiaTheme="minorEastAsia"/>
                      <w:kern w:val="0"/>
                      <w:szCs w:val="21"/>
                    </w:rPr>
                    <w:t>制冷供暖</w:t>
                  </w:r>
                </w:p>
              </w:tc>
              <w:tc>
                <w:tcPr>
                  <w:tcW w:w="5376" w:type="dxa"/>
                  <w:vAlign w:val="center"/>
                </w:tcPr>
                <w:p>
                  <w:pPr>
                    <w:widowControl/>
                    <w:jc w:val="left"/>
                    <w:rPr>
                      <w:rFonts w:eastAsiaTheme="minorEastAsia"/>
                      <w:kern w:val="0"/>
                      <w:szCs w:val="21"/>
                    </w:rPr>
                  </w:pPr>
                  <w:r>
                    <w:rPr>
                      <w:rFonts w:eastAsiaTheme="minorEastAsia"/>
                      <w:szCs w:val="21"/>
                    </w:rPr>
                    <w:t>办公生活区供暖、制冷采用分体式空调，</w:t>
                  </w:r>
                  <w:r>
                    <w:rPr>
                      <w:rFonts w:eastAsiaTheme="minorEastAsia"/>
                      <w:kern w:val="0"/>
                      <w:szCs w:val="21"/>
                    </w:rPr>
                    <w:t>生产区不供暖制冷。</w:t>
                  </w:r>
                </w:p>
              </w:tc>
              <w:tc>
                <w:tcPr>
                  <w:tcW w:w="860" w:type="dxa"/>
                  <w:vAlign w:val="center"/>
                </w:tcPr>
                <w:p>
                  <w:pPr>
                    <w:widowControl/>
                    <w:jc w:val="center"/>
                    <w:rPr>
                      <w:rFonts w:eastAsiaTheme="minorEastAsia"/>
                      <w:kern w:val="0"/>
                      <w:szCs w:val="21"/>
                    </w:rPr>
                  </w:pPr>
                  <w:r>
                    <w:rPr>
                      <w:rFonts w:eastAsiaTheme="minorEastAsia"/>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1" w:type="dxa"/>
                  <w:vMerge w:val="restart"/>
                  <w:vAlign w:val="center"/>
                </w:tcPr>
                <w:p>
                  <w:pPr>
                    <w:widowControl/>
                    <w:jc w:val="center"/>
                    <w:rPr>
                      <w:rFonts w:eastAsiaTheme="minorEastAsia"/>
                      <w:kern w:val="0"/>
                      <w:szCs w:val="21"/>
                      <w:highlight w:val="cyan"/>
                    </w:rPr>
                  </w:pPr>
                  <w:r>
                    <w:rPr>
                      <w:rFonts w:eastAsiaTheme="minorEastAsia"/>
                      <w:kern w:val="0"/>
                      <w:szCs w:val="21"/>
                    </w:rPr>
                    <w:t>环保工程</w:t>
                  </w:r>
                </w:p>
              </w:tc>
              <w:tc>
                <w:tcPr>
                  <w:tcW w:w="1134" w:type="dxa"/>
                  <w:vAlign w:val="center"/>
                </w:tcPr>
                <w:p>
                  <w:pPr>
                    <w:widowControl/>
                    <w:jc w:val="center"/>
                    <w:rPr>
                      <w:rFonts w:eastAsiaTheme="minorEastAsia"/>
                      <w:kern w:val="0"/>
                      <w:szCs w:val="21"/>
                    </w:rPr>
                  </w:pPr>
                  <w:r>
                    <w:rPr>
                      <w:rFonts w:eastAsiaTheme="minorEastAsia"/>
                      <w:kern w:val="0"/>
                      <w:szCs w:val="21"/>
                    </w:rPr>
                    <w:t>废气</w:t>
                  </w:r>
                </w:p>
              </w:tc>
              <w:tc>
                <w:tcPr>
                  <w:tcW w:w="5376" w:type="dxa"/>
                  <w:vAlign w:val="center"/>
                </w:tcPr>
                <w:p>
                  <w:pPr>
                    <w:widowControl/>
                    <w:jc w:val="left"/>
                    <w:rPr>
                      <w:rFonts w:eastAsiaTheme="minorEastAsia"/>
                      <w:kern w:val="0"/>
                      <w:szCs w:val="21"/>
                    </w:rPr>
                  </w:pPr>
                  <w:r>
                    <w:rPr>
                      <w:rFonts w:eastAsiaTheme="minorEastAsia"/>
                      <w:szCs w:val="21"/>
                    </w:rPr>
                    <w:t>生产环节均封闭在钢结构车间内，原料及成品堆放区、车间内均设雾化喷淋装置，每天定时喷淋；设一套布袋除尘器，分别在每个产尘点设收尘设施，废气经收集后分别引入布袋除尘器处理后，通过1根15m高排气筒排放；厂内运输道路定期清扫、洒水抑尘。</w:t>
                  </w:r>
                </w:p>
              </w:tc>
              <w:tc>
                <w:tcPr>
                  <w:tcW w:w="860" w:type="dxa"/>
                  <w:vAlign w:val="center"/>
                </w:tcPr>
                <w:p>
                  <w:pPr>
                    <w:widowControl/>
                    <w:jc w:val="center"/>
                    <w:rPr>
                      <w:rFonts w:eastAsiaTheme="minorEastAsia"/>
                      <w:kern w:val="0"/>
                      <w:szCs w:val="21"/>
                      <w:highlight w:val="cyan"/>
                    </w:rPr>
                  </w:pPr>
                  <w:r>
                    <w:rPr>
                      <w:rFonts w:eastAsiaTheme="minorEastAsia"/>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1" w:type="dxa"/>
                  <w:vMerge w:val="continue"/>
                  <w:vAlign w:val="center"/>
                </w:tcPr>
                <w:p>
                  <w:pPr>
                    <w:widowControl/>
                    <w:jc w:val="center"/>
                    <w:rPr>
                      <w:rFonts w:eastAsiaTheme="minorEastAsia"/>
                      <w:kern w:val="0"/>
                      <w:szCs w:val="21"/>
                      <w:highlight w:val="cyan"/>
                    </w:rPr>
                  </w:pPr>
                </w:p>
              </w:tc>
              <w:tc>
                <w:tcPr>
                  <w:tcW w:w="1134" w:type="dxa"/>
                  <w:vAlign w:val="center"/>
                </w:tcPr>
                <w:p>
                  <w:pPr>
                    <w:widowControl/>
                    <w:jc w:val="center"/>
                    <w:rPr>
                      <w:rFonts w:eastAsiaTheme="minorEastAsia"/>
                      <w:kern w:val="0"/>
                      <w:szCs w:val="21"/>
                      <w:highlight w:val="cyan"/>
                    </w:rPr>
                  </w:pPr>
                  <w:r>
                    <w:rPr>
                      <w:rFonts w:eastAsiaTheme="minorEastAsia"/>
                      <w:kern w:val="0"/>
                      <w:szCs w:val="21"/>
                    </w:rPr>
                    <w:t>废水</w:t>
                  </w:r>
                </w:p>
              </w:tc>
              <w:tc>
                <w:tcPr>
                  <w:tcW w:w="5376" w:type="dxa"/>
                  <w:vAlign w:val="center"/>
                </w:tcPr>
                <w:p>
                  <w:pPr>
                    <w:widowControl/>
                    <w:jc w:val="left"/>
                    <w:rPr>
                      <w:rFonts w:eastAsiaTheme="minorEastAsia"/>
                      <w:kern w:val="0"/>
                      <w:szCs w:val="21"/>
                      <w:highlight w:val="cyan"/>
                    </w:rPr>
                  </w:pPr>
                  <w:r>
                    <w:rPr>
                      <w:rFonts w:hint="eastAsia" w:eastAsiaTheme="minorEastAsia"/>
                      <w:szCs w:val="21"/>
                    </w:rPr>
                    <w:t>生活污水进入防渗旱厕，定期清掏肥田；洗车废水经沉淀池（V=5m3）处理后回用于洗车；洗砂废水经污水处理设施（2个污水处理罐）处理后，回用于生产，不外排。</w:t>
                  </w:r>
                </w:p>
              </w:tc>
              <w:tc>
                <w:tcPr>
                  <w:tcW w:w="860" w:type="dxa"/>
                  <w:vAlign w:val="center"/>
                </w:tcPr>
                <w:p>
                  <w:pPr>
                    <w:widowControl/>
                    <w:jc w:val="center"/>
                    <w:rPr>
                      <w:rFonts w:eastAsiaTheme="minorEastAsia"/>
                      <w:kern w:val="0"/>
                      <w:szCs w:val="21"/>
                      <w:highlight w:val="cyan"/>
                    </w:rPr>
                  </w:pPr>
                  <w:r>
                    <w:rPr>
                      <w:rFonts w:eastAsiaTheme="minorEastAsia"/>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1" w:type="dxa"/>
                  <w:vMerge w:val="continue"/>
                  <w:vAlign w:val="center"/>
                </w:tcPr>
                <w:p>
                  <w:pPr>
                    <w:widowControl/>
                    <w:jc w:val="center"/>
                    <w:rPr>
                      <w:rFonts w:eastAsiaTheme="minorEastAsia"/>
                      <w:kern w:val="0"/>
                      <w:szCs w:val="21"/>
                      <w:highlight w:val="cyan"/>
                    </w:rPr>
                  </w:pPr>
                </w:p>
              </w:tc>
              <w:tc>
                <w:tcPr>
                  <w:tcW w:w="1134" w:type="dxa"/>
                  <w:vAlign w:val="center"/>
                </w:tcPr>
                <w:p>
                  <w:pPr>
                    <w:widowControl/>
                    <w:jc w:val="center"/>
                    <w:rPr>
                      <w:rFonts w:eastAsiaTheme="minorEastAsia"/>
                      <w:kern w:val="0"/>
                      <w:szCs w:val="21"/>
                    </w:rPr>
                  </w:pPr>
                  <w:r>
                    <w:rPr>
                      <w:rFonts w:eastAsiaTheme="minorEastAsia"/>
                      <w:kern w:val="0"/>
                      <w:szCs w:val="21"/>
                    </w:rPr>
                    <w:t>噪声</w:t>
                  </w:r>
                </w:p>
              </w:tc>
              <w:tc>
                <w:tcPr>
                  <w:tcW w:w="5376" w:type="dxa"/>
                  <w:vAlign w:val="center"/>
                </w:tcPr>
                <w:p>
                  <w:pPr>
                    <w:widowControl/>
                    <w:jc w:val="left"/>
                    <w:rPr>
                      <w:rFonts w:eastAsiaTheme="minorEastAsia"/>
                      <w:kern w:val="0"/>
                      <w:szCs w:val="21"/>
                    </w:rPr>
                  </w:pPr>
                  <w:r>
                    <w:rPr>
                      <w:rFonts w:eastAsiaTheme="minorEastAsia"/>
                      <w:szCs w:val="21"/>
                    </w:rPr>
                    <w:t>选用低噪声生产设备，设备室内放置、合理布局、风机进出口采取软连接、设备基础减振措施</w:t>
                  </w:r>
                </w:p>
              </w:tc>
              <w:tc>
                <w:tcPr>
                  <w:tcW w:w="860" w:type="dxa"/>
                  <w:vAlign w:val="center"/>
                </w:tcPr>
                <w:p>
                  <w:pPr>
                    <w:widowControl/>
                    <w:jc w:val="center"/>
                    <w:rPr>
                      <w:rFonts w:eastAsiaTheme="minorEastAsia"/>
                      <w:kern w:val="0"/>
                      <w:szCs w:val="21"/>
                    </w:rPr>
                  </w:pPr>
                  <w:r>
                    <w:rPr>
                      <w:rFonts w:eastAsiaTheme="minorEastAsia"/>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1" w:type="dxa"/>
                  <w:vMerge w:val="continue"/>
                  <w:vAlign w:val="center"/>
                </w:tcPr>
                <w:p>
                  <w:pPr>
                    <w:widowControl/>
                    <w:jc w:val="center"/>
                    <w:rPr>
                      <w:rFonts w:eastAsiaTheme="minorEastAsia"/>
                      <w:kern w:val="0"/>
                      <w:szCs w:val="21"/>
                      <w:highlight w:val="cyan"/>
                    </w:rPr>
                  </w:pPr>
                </w:p>
              </w:tc>
              <w:tc>
                <w:tcPr>
                  <w:tcW w:w="1134" w:type="dxa"/>
                  <w:vMerge w:val="restart"/>
                  <w:vAlign w:val="center"/>
                </w:tcPr>
                <w:p>
                  <w:pPr>
                    <w:widowControl/>
                    <w:jc w:val="center"/>
                    <w:rPr>
                      <w:rFonts w:eastAsiaTheme="minorEastAsia"/>
                      <w:kern w:val="0"/>
                      <w:szCs w:val="21"/>
                    </w:rPr>
                  </w:pPr>
                  <w:r>
                    <w:rPr>
                      <w:rFonts w:eastAsiaTheme="minorEastAsia"/>
                      <w:kern w:val="0"/>
                      <w:szCs w:val="21"/>
                    </w:rPr>
                    <w:t>固体废物</w:t>
                  </w:r>
                </w:p>
              </w:tc>
              <w:tc>
                <w:tcPr>
                  <w:tcW w:w="5376" w:type="dxa"/>
                  <w:vAlign w:val="center"/>
                </w:tcPr>
                <w:p>
                  <w:pPr>
                    <w:widowControl/>
                    <w:jc w:val="left"/>
                    <w:rPr>
                      <w:rFonts w:eastAsiaTheme="minorEastAsia"/>
                      <w:kern w:val="0"/>
                      <w:szCs w:val="21"/>
                    </w:rPr>
                  </w:pPr>
                  <w:r>
                    <w:rPr>
                      <w:rFonts w:eastAsiaTheme="minorEastAsia"/>
                      <w:szCs w:val="21"/>
                    </w:rPr>
                    <w:t>生活垃圾分类收集，定期交由环卫部门外运处置</w:t>
                  </w:r>
                  <w:r>
                    <w:rPr>
                      <w:rFonts w:eastAsiaTheme="minorEastAsia"/>
                      <w:kern w:val="0"/>
                      <w:szCs w:val="21"/>
                    </w:rPr>
                    <w:t>。</w:t>
                  </w:r>
                </w:p>
              </w:tc>
              <w:tc>
                <w:tcPr>
                  <w:tcW w:w="860" w:type="dxa"/>
                  <w:vAlign w:val="center"/>
                </w:tcPr>
                <w:p>
                  <w:pPr>
                    <w:widowControl/>
                    <w:jc w:val="center"/>
                    <w:rPr>
                      <w:rFonts w:eastAsiaTheme="minorEastAsia"/>
                      <w:kern w:val="0"/>
                      <w:szCs w:val="21"/>
                    </w:rPr>
                  </w:pPr>
                  <w:r>
                    <w:rPr>
                      <w:rFonts w:eastAsiaTheme="minorEastAsia"/>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1" w:type="dxa"/>
                  <w:vMerge w:val="continue"/>
                  <w:vAlign w:val="center"/>
                </w:tcPr>
                <w:p>
                  <w:pPr>
                    <w:widowControl/>
                    <w:jc w:val="center"/>
                    <w:rPr>
                      <w:rFonts w:eastAsiaTheme="minorEastAsia"/>
                      <w:kern w:val="0"/>
                      <w:szCs w:val="21"/>
                      <w:highlight w:val="cyan"/>
                    </w:rPr>
                  </w:pPr>
                </w:p>
              </w:tc>
              <w:tc>
                <w:tcPr>
                  <w:tcW w:w="1134" w:type="dxa"/>
                  <w:vMerge w:val="continue"/>
                  <w:vAlign w:val="center"/>
                </w:tcPr>
                <w:p>
                  <w:pPr>
                    <w:widowControl/>
                    <w:jc w:val="center"/>
                    <w:rPr>
                      <w:rFonts w:eastAsiaTheme="minorEastAsia"/>
                      <w:kern w:val="0"/>
                      <w:szCs w:val="21"/>
                    </w:rPr>
                  </w:pPr>
                </w:p>
              </w:tc>
              <w:tc>
                <w:tcPr>
                  <w:tcW w:w="5376" w:type="dxa"/>
                  <w:vAlign w:val="center"/>
                </w:tcPr>
                <w:p>
                  <w:pPr>
                    <w:widowControl/>
                    <w:jc w:val="left"/>
                    <w:rPr>
                      <w:rFonts w:eastAsiaTheme="minorEastAsia"/>
                      <w:kern w:val="0"/>
                      <w:szCs w:val="21"/>
                    </w:rPr>
                  </w:pPr>
                  <w:r>
                    <w:rPr>
                      <w:rFonts w:eastAsiaTheme="minorEastAsia"/>
                      <w:szCs w:val="21"/>
                    </w:rPr>
                    <w:t>项目除尘器收尘可作为产品外售；储泥罐内污泥经过压滤机处理后将泥浆中的水、泥分离，泥饼外运到周边垃圾填埋场按要求进行填埋处理。</w:t>
                  </w:r>
                </w:p>
              </w:tc>
              <w:tc>
                <w:tcPr>
                  <w:tcW w:w="860" w:type="dxa"/>
                  <w:vAlign w:val="center"/>
                </w:tcPr>
                <w:p>
                  <w:pPr>
                    <w:widowControl/>
                    <w:jc w:val="center"/>
                    <w:rPr>
                      <w:rFonts w:eastAsiaTheme="minorEastAsia"/>
                      <w:kern w:val="0"/>
                      <w:szCs w:val="21"/>
                      <w:highlight w:val="cyan"/>
                    </w:rPr>
                  </w:pPr>
                  <w:r>
                    <w:rPr>
                      <w:rFonts w:eastAsiaTheme="minorEastAsia"/>
                      <w:kern w:val="0"/>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1" w:type="dxa"/>
                  <w:vMerge w:val="continue"/>
                  <w:vAlign w:val="center"/>
                </w:tcPr>
                <w:p>
                  <w:pPr>
                    <w:widowControl/>
                    <w:jc w:val="center"/>
                    <w:rPr>
                      <w:rFonts w:eastAsiaTheme="minorEastAsia"/>
                      <w:kern w:val="0"/>
                      <w:szCs w:val="21"/>
                      <w:highlight w:val="cyan"/>
                    </w:rPr>
                  </w:pPr>
                </w:p>
              </w:tc>
              <w:tc>
                <w:tcPr>
                  <w:tcW w:w="1134" w:type="dxa"/>
                  <w:vMerge w:val="continue"/>
                  <w:vAlign w:val="center"/>
                </w:tcPr>
                <w:p>
                  <w:pPr>
                    <w:widowControl/>
                    <w:jc w:val="center"/>
                    <w:rPr>
                      <w:rFonts w:eastAsiaTheme="minorEastAsia"/>
                      <w:kern w:val="0"/>
                      <w:szCs w:val="21"/>
                      <w:highlight w:val="cyan"/>
                    </w:rPr>
                  </w:pPr>
                </w:p>
              </w:tc>
              <w:tc>
                <w:tcPr>
                  <w:tcW w:w="5376" w:type="dxa"/>
                  <w:vAlign w:val="center"/>
                </w:tcPr>
                <w:p>
                  <w:pPr>
                    <w:widowControl/>
                    <w:jc w:val="left"/>
                    <w:rPr>
                      <w:rFonts w:eastAsiaTheme="minorEastAsia"/>
                      <w:kern w:val="0"/>
                      <w:szCs w:val="21"/>
                    </w:rPr>
                  </w:pPr>
                  <w:r>
                    <w:rPr>
                      <w:rFonts w:eastAsiaTheme="minorEastAsia"/>
                      <w:szCs w:val="21"/>
                    </w:rPr>
                    <w:t>含油抹布手套、废机油收集后，暂存于危废暂存箱内，定期交由有资质单位进行处理。</w:t>
                  </w:r>
                </w:p>
              </w:tc>
              <w:tc>
                <w:tcPr>
                  <w:tcW w:w="860" w:type="dxa"/>
                  <w:vAlign w:val="center"/>
                </w:tcPr>
                <w:p>
                  <w:pPr>
                    <w:widowControl/>
                    <w:jc w:val="center"/>
                    <w:rPr>
                      <w:rFonts w:eastAsiaTheme="minorEastAsia"/>
                      <w:kern w:val="0"/>
                      <w:szCs w:val="21"/>
                    </w:rPr>
                  </w:pPr>
                  <w:r>
                    <w:rPr>
                      <w:rFonts w:eastAsiaTheme="minorEastAsia"/>
                      <w:kern w:val="0"/>
                      <w:szCs w:val="21"/>
                    </w:rPr>
                    <w:t>新建</w:t>
                  </w:r>
                </w:p>
              </w:tc>
            </w:tr>
          </w:tbl>
          <w:p>
            <w:pPr>
              <w:spacing w:before="120" w:beforeLines="50" w:line="360" w:lineRule="auto"/>
              <w:rPr>
                <w:b/>
                <w:sz w:val="24"/>
              </w:rPr>
            </w:pPr>
            <w:r>
              <w:rPr>
                <w:b/>
                <w:sz w:val="24"/>
              </w:rPr>
              <w:t>2.3主要产品及产能</w:t>
            </w:r>
          </w:p>
          <w:p>
            <w:pPr>
              <w:pStyle w:val="44"/>
              <w:spacing w:line="360" w:lineRule="auto"/>
              <w:ind w:firstLine="480" w:firstLineChars="200"/>
              <w:rPr>
                <w:rFonts w:ascii="Times New Roman" w:cs="Times New Roman"/>
                <w:b w:val="0"/>
                <w:color w:val="auto"/>
              </w:rPr>
            </w:pPr>
            <w:r>
              <w:rPr>
                <w:rFonts w:ascii="Times New Roman" w:cs="Times New Roman"/>
                <w:b w:val="0"/>
                <w:color w:val="auto"/>
              </w:rPr>
              <w:t>本项目建成后产品</w:t>
            </w:r>
            <w:r>
              <w:rPr>
                <w:rFonts w:hint="eastAsia" w:ascii="Times New Roman" w:cs="Times New Roman"/>
                <w:b w:val="0"/>
                <w:color w:val="auto"/>
              </w:rPr>
              <w:t>方案见下表</w:t>
            </w:r>
            <w:r>
              <w:rPr>
                <w:rFonts w:ascii="Times New Roman" w:cs="Times New Roman"/>
                <w:b w:val="0"/>
                <w:color w:val="auto"/>
              </w:rPr>
              <w:t>。</w:t>
            </w:r>
          </w:p>
          <w:p>
            <w:pPr>
              <w:spacing w:line="360" w:lineRule="auto"/>
              <w:ind w:right="105" w:rightChars="50"/>
              <w:contextualSpacing/>
              <w:jc w:val="center"/>
              <w:rPr>
                <w:b/>
                <w:bCs/>
                <w:szCs w:val="21"/>
              </w:rPr>
            </w:pPr>
            <w:r>
              <w:rPr>
                <w:b/>
                <w:bCs/>
                <w:szCs w:val="21"/>
              </w:rPr>
              <w:t>表2-2  项目产品及产量一览表</w:t>
            </w:r>
          </w:p>
          <w:tbl>
            <w:tblPr>
              <w:tblStyle w:val="2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552"/>
              <w:gridCol w:w="2310"/>
              <w:gridCol w:w="3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7" w:type="pct"/>
                  <w:tcBorders>
                    <w:top w:val="single" w:color="000000" w:sz="4" w:space="0"/>
                    <w:left w:val="single" w:color="000000" w:sz="4" w:space="0"/>
                    <w:bottom w:val="single" w:color="000000" w:sz="4" w:space="0"/>
                    <w:right w:val="single" w:color="000000" w:sz="4" w:space="0"/>
                  </w:tcBorders>
                  <w:vAlign w:val="center"/>
                </w:tcPr>
                <w:p>
                  <w:pPr>
                    <w:pStyle w:val="49"/>
                    <w:spacing w:before="24" w:after="24" w:line="240" w:lineRule="auto"/>
                    <w:ind w:left="0" w:leftChars="0" w:right="0" w:rightChars="0"/>
                    <w:rPr>
                      <w:rFonts w:ascii="Times New Roman" w:eastAsiaTheme="minorEastAsia"/>
                      <w:szCs w:val="21"/>
                    </w:rPr>
                  </w:pPr>
                  <w:r>
                    <w:rPr>
                      <w:rFonts w:ascii="Times New Roman" w:eastAsiaTheme="minorEastAsia"/>
                      <w:szCs w:val="21"/>
                    </w:rPr>
                    <w:t>序号</w:t>
                  </w:r>
                </w:p>
              </w:tc>
              <w:tc>
                <w:tcPr>
                  <w:tcW w:w="946" w:type="pct"/>
                  <w:tcBorders>
                    <w:top w:val="single" w:color="000000" w:sz="4" w:space="0"/>
                    <w:left w:val="nil"/>
                    <w:bottom w:val="single" w:color="000000" w:sz="4" w:space="0"/>
                    <w:right w:val="single" w:color="000000" w:sz="4" w:space="0"/>
                  </w:tcBorders>
                  <w:vAlign w:val="center"/>
                </w:tcPr>
                <w:p>
                  <w:pPr>
                    <w:pStyle w:val="49"/>
                    <w:spacing w:before="24" w:after="24"/>
                    <w:rPr>
                      <w:rFonts w:ascii="Times New Roman" w:eastAsiaTheme="minorEastAsia"/>
                      <w:szCs w:val="21"/>
                    </w:rPr>
                  </w:pPr>
                  <w:r>
                    <w:rPr>
                      <w:rFonts w:ascii="Times New Roman" w:eastAsiaTheme="minorEastAsia"/>
                      <w:szCs w:val="21"/>
                    </w:rPr>
                    <w:t>产品名称</w:t>
                  </w:r>
                </w:p>
              </w:tc>
              <w:tc>
                <w:tcPr>
                  <w:tcW w:w="1408" w:type="pct"/>
                  <w:tcBorders>
                    <w:top w:val="single" w:color="000000" w:sz="4" w:space="0"/>
                    <w:left w:val="nil"/>
                    <w:bottom w:val="single" w:color="000000" w:sz="4" w:space="0"/>
                    <w:right w:val="single" w:color="000000" w:sz="4" w:space="0"/>
                  </w:tcBorders>
                  <w:vAlign w:val="center"/>
                </w:tcPr>
                <w:p>
                  <w:pPr>
                    <w:pStyle w:val="49"/>
                    <w:spacing w:before="24" w:after="24"/>
                    <w:rPr>
                      <w:rFonts w:ascii="Times New Roman" w:eastAsiaTheme="minorEastAsia"/>
                      <w:szCs w:val="21"/>
                    </w:rPr>
                  </w:pPr>
                  <w:r>
                    <w:rPr>
                      <w:rFonts w:ascii="Times New Roman" w:eastAsiaTheme="minorEastAsia"/>
                      <w:szCs w:val="21"/>
                    </w:rPr>
                    <w:t>年产量</w:t>
                  </w:r>
                </w:p>
              </w:tc>
              <w:tc>
                <w:tcPr>
                  <w:tcW w:w="2149" w:type="pct"/>
                  <w:tcBorders>
                    <w:top w:val="single" w:color="000000" w:sz="4" w:space="0"/>
                    <w:left w:val="nil"/>
                    <w:bottom w:val="single" w:color="000000" w:sz="4" w:space="0"/>
                    <w:right w:val="single" w:color="000000" w:sz="4" w:space="0"/>
                  </w:tcBorders>
                  <w:vAlign w:val="center"/>
                </w:tcPr>
                <w:p>
                  <w:pPr>
                    <w:pStyle w:val="49"/>
                    <w:spacing w:before="24" w:after="24"/>
                    <w:rPr>
                      <w:rFonts w:ascii="Times New Roman" w:eastAsiaTheme="minorEastAsia"/>
                      <w:szCs w:val="21"/>
                    </w:rPr>
                  </w:pPr>
                  <w:r>
                    <w:rPr>
                      <w:rFonts w:ascii="Times New Roman" w:eastAsiaTheme="minorEastAsia"/>
                      <w:szCs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7" w:type="pct"/>
                  <w:tcBorders>
                    <w:left w:val="single" w:color="000000" w:sz="4" w:space="0"/>
                    <w:right w:val="single" w:color="000000" w:sz="4" w:space="0"/>
                  </w:tcBorders>
                  <w:vAlign w:val="center"/>
                </w:tcPr>
                <w:p>
                  <w:pPr>
                    <w:pStyle w:val="49"/>
                    <w:spacing w:before="24" w:after="24"/>
                    <w:rPr>
                      <w:rFonts w:ascii="Times New Roman" w:eastAsiaTheme="minorEastAsia"/>
                      <w:szCs w:val="21"/>
                    </w:rPr>
                  </w:pPr>
                  <w:r>
                    <w:rPr>
                      <w:rFonts w:ascii="Times New Roman" w:eastAsiaTheme="minorEastAsia"/>
                      <w:szCs w:val="21"/>
                    </w:rPr>
                    <w:t>1</w:t>
                  </w:r>
                </w:p>
              </w:tc>
              <w:tc>
                <w:tcPr>
                  <w:tcW w:w="946" w:type="pct"/>
                  <w:tcBorders>
                    <w:top w:val="single" w:color="auto" w:sz="4" w:space="0"/>
                    <w:left w:val="single" w:color="auto" w:sz="4" w:space="0"/>
                    <w:bottom w:val="single" w:color="auto" w:sz="4" w:space="0"/>
                    <w:right w:val="single" w:color="auto" w:sz="4" w:space="0"/>
                  </w:tcBorders>
                  <w:vAlign w:val="center"/>
                </w:tcPr>
                <w:p>
                  <w:pPr>
                    <w:pStyle w:val="49"/>
                    <w:spacing w:before="24" w:after="24"/>
                    <w:rPr>
                      <w:rFonts w:ascii="Times New Roman" w:eastAsiaTheme="minorEastAsia"/>
                      <w:szCs w:val="21"/>
                    </w:rPr>
                  </w:pPr>
                  <w:r>
                    <w:rPr>
                      <w:rFonts w:ascii="Times New Roman" w:eastAsiaTheme="minorEastAsia"/>
                      <w:szCs w:val="21"/>
                    </w:rPr>
                    <w:t>水洗砂</w:t>
                  </w:r>
                </w:p>
              </w:tc>
              <w:tc>
                <w:tcPr>
                  <w:tcW w:w="1408" w:type="pct"/>
                  <w:tcBorders>
                    <w:top w:val="single" w:color="000000" w:sz="4" w:space="0"/>
                    <w:left w:val="nil"/>
                    <w:bottom w:val="single" w:color="000000" w:sz="4" w:space="0"/>
                    <w:right w:val="single" w:color="000000" w:sz="4" w:space="0"/>
                  </w:tcBorders>
                  <w:vAlign w:val="center"/>
                </w:tcPr>
                <w:p>
                  <w:pPr>
                    <w:pStyle w:val="49"/>
                    <w:spacing w:before="24" w:after="24"/>
                    <w:rPr>
                      <w:rFonts w:ascii="Times New Roman" w:eastAsiaTheme="minorEastAsia"/>
                      <w:szCs w:val="21"/>
                    </w:rPr>
                  </w:pPr>
                  <w:r>
                    <w:rPr>
                      <w:rFonts w:ascii="Times New Roman" w:eastAsiaTheme="minorEastAsia"/>
                      <w:szCs w:val="21"/>
                    </w:rPr>
                    <w:t>18万吨</w:t>
                  </w:r>
                </w:p>
              </w:tc>
              <w:tc>
                <w:tcPr>
                  <w:tcW w:w="2149" w:type="pct"/>
                  <w:tcBorders>
                    <w:top w:val="single" w:color="000000" w:sz="4" w:space="0"/>
                    <w:left w:val="nil"/>
                    <w:bottom w:val="single" w:color="000000" w:sz="4" w:space="0"/>
                    <w:right w:val="single" w:color="000000" w:sz="4" w:space="0"/>
                  </w:tcBorders>
                  <w:vAlign w:val="center"/>
                </w:tcPr>
                <w:p>
                  <w:pPr>
                    <w:pStyle w:val="49"/>
                    <w:spacing w:before="24" w:after="24"/>
                    <w:rPr>
                      <w:rFonts w:ascii="Times New Roman" w:eastAsiaTheme="minorEastAsia"/>
                      <w:szCs w:val="21"/>
                    </w:rPr>
                  </w:pPr>
                  <w:r>
                    <w:rPr>
                      <w:rFonts w:ascii="Times New Roman" w:eastAsiaTheme="minorEastAsia"/>
                      <w:szCs w:val="21"/>
                    </w:rPr>
                    <w:t>中粗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7" w:type="pct"/>
                  <w:tcBorders>
                    <w:left w:val="single" w:color="000000" w:sz="4" w:space="0"/>
                    <w:right w:val="single" w:color="000000" w:sz="4" w:space="0"/>
                  </w:tcBorders>
                  <w:vAlign w:val="center"/>
                </w:tcPr>
                <w:p>
                  <w:pPr>
                    <w:pStyle w:val="49"/>
                    <w:spacing w:before="24" w:after="24"/>
                    <w:rPr>
                      <w:rFonts w:ascii="Times New Roman" w:eastAsiaTheme="minorEastAsia"/>
                      <w:szCs w:val="21"/>
                    </w:rPr>
                  </w:pPr>
                  <w:r>
                    <w:rPr>
                      <w:rFonts w:ascii="Times New Roman" w:eastAsiaTheme="minorEastAsia"/>
                      <w:szCs w:val="21"/>
                    </w:rPr>
                    <w:t>2</w:t>
                  </w:r>
                </w:p>
              </w:tc>
              <w:tc>
                <w:tcPr>
                  <w:tcW w:w="946" w:type="pct"/>
                  <w:tcBorders>
                    <w:top w:val="single" w:color="auto" w:sz="4" w:space="0"/>
                    <w:left w:val="single" w:color="auto" w:sz="4" w:space="0"/>
                    <w:bottom w:val="single" w:color="auto" w:sz="4" w:space="0"/>
                    <w:right w:val="single" w:color="auto" w:sz="4" w:space="0"/>
                  </w:tcBorders>
                  <w:vAlign w:val="center"/>
                </w:tcPr>
                <w:p>
                  <w:pPr>
                    <w:pStyle w:val="49"/>
                    <w:spacing w:before="24" w:after="24"/>
                    <w:rPr>
                      <w:rFonts w:ascii="Times New Roman" w:eastAsiaTheme="minorEastAsia"/>
                      <w:szCs w:val="21"/>
                    </w:rPr>
                  </w:pPr>
                  <w:r>
                    <w:rPr>
                      <w:rFonts w:ascii="Times New Roman" w:eastAsiaTheme="minorEastAsia"/>
                      <w:szCs w:val="21"/>
                    </w:rPr>
                    <w:t>碎石</w:t>
                  </w:r>
                </w:p>
              </w:tc>
              <w:tc>
                <w:tcPr>
                  <w:tcW w:w="1408" w:type="pct"/>
                  <w:tcBorders>
                    <w:top w:val="single" w:color="000000" w:sz="4" w:space="0"/>
                    <w:left w:val="nil"/>
                    <w:bottom w:val="single" w:color="000000" w:sz="4" w:space="0"/>
                    <w:right w:val="single" w:color="000000" w:sz="4" w:space="0"/>
                  </w:tcBorders>
                </w:tcPr>
                <w:p>
                  <w:pPr>
                    <w:pStyle w:val="49"/>
                    <w:spacing w:before="24" w:after="24"/>
                    <w:rPr>
                      <w:rFonts w:ascii="Times New Roman" w:eastAsiaTheme="minorEastAsia"/>
                      <w:szCs w:val="21"/>
                    </w:rPr>
                  </w:pPr>
                  <w:r>
                    <w:rPr>
                      <w:rFonts w:ascii="Times New Roman" w:eastAsiaTheme="minorEastAsia"/>
                      <w:szCs w:val="21"/>
                    </w:rPr>
                    <w:t>3万吨</w:t>
                  </w:r>
                </w:p>
              </w:tc>
              <w:tc>
                <w:tcPr>
                  <w:tcW w:w="2149" w:type="pct"/>
                  <w:tcBorders>
                    <w:top w:val="single" w:color="000000" w:sz="4" w:space="0"/>
                    <w:left w:val="nil"/>
                    <w:bottom w:val="single" w:color="000000" w:sz="4" w:space="0"/>
                    <w:right w:val="single" w:color="000000" w:sz="4" w:space="0"/>
                  </w:tcBorders>
                  <w:vAlign w:val="center"/>
                </w:tcPr>
                <w:p>
                  <w:pPr>
                    <w:pStyle w:val="49"/>
                    <w:spacing w:before="24" w:after="24"/>
                    <w:rPr>
                      <w:rFonts w:ascii="Times New Roman" w:eastAsiaTheme="minorEastAsia"/>
                      <w:szCs w:val="21"/>
                    </w:rPr>
                  </w:pPr>
                  <w:r>
                    <w:rPr>
                      <w:rFonts w:ascii="Times New Roman" w:eastAsiaTheme="minorEastAsia"/>
                      <w:szCs w:val="21"/>
                    </w:rPr>
                    <w:t>1-2（粒径10~20mm）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7" w:type="pct"/>
                  <w:tcBorders>
                    <w:left w:val="single" w:color="000000" w:sz="4" w:space="0"/>
                    <w:right w:val="single" w:color="000000" w:sz="4" w:space="0"/>
                  </w:tcBorders>
                  <w:vAlign w:val="center"/>
                </w:tcPr>
                <w:p>
                  <w:pPr>
                    <w:pStyle w:val="49"/>
                    <w:spacing w:before="24" w:after="24"/>
                    <w:rPr>
                      <w:rFonts w:ascii="Times New Roman" w:eastAsiaTheme="minorEastAsia"/>
                      <w:szCs w:val="21"/>
                    </w:rPr>
                  </w:pPr>
                  <w:r>
                    <w:rPr>
                      <w:rFonts w:ascii="Times New Roman" w:eastAsiaTheme="minorEastAsia"/>
                      <w:szCs w:val="21"/>
                    </w:rPr>
                    <w:t>3</w:t>
                  </w:r>
                </w:p>
              </w:tc>
              <w:tc>
                <w:tcPr>
                  <w:tcW w:w="946" w:type="pct"/>
                  <w:tcBorders>
                    <w:top w:val="single" w:color="auto" w:sz="4" w:space="0"/>
                    <w:left w:val="single" w:color="auto" w:sz="4" w:space="0"/>
                    <w:bottom w:val="single" w:color="auto" w:sz="4" w:space="0"/>
                    <w:right w:val="single" w:color="auto" w:sz="4" w:space="0"/>
                  </w:tcBorders>
                  <w:vAlign w:val="center"/>
                </w:tcPr>
                <w:p>
                  <w:pPr>
                    <w:pStyle w:val="49"/>
                    <w:spacing w:before="24" w:after="24"/>
                    <w:rPr>
                      <w:rFonts w:ascii="Times New Roman" w:eastAsiaTheme="minorEastAsia"/>
                      <w:szCs w:val="21"/>
                    </w:rPr>
                  </w:pPr>
                  <w:r>
                    <w:rPr>
                      <w:rFonts w:ascii="Times New Roman" w:eastAsiaTheme="minorEastAsia"/>
                      <w:szCs w:val="21"/>
                    </w:rPr>
                    <w:t>碎石</w:t>
                  </w:r>
                </w:p>
              </w:tc>
              <w:tc>
                <w:tcPr>
                  <w:tcW w:w="1408" w:type="pct"/>
                  <w:tcBorders>
                    <w:top w:val="single" w:color="000000" w:sz="4" w:space="0"/>
                    <w:left w:val="nil"/>
                    <w:bottom w:val="single" w:color="000000" w:sz="4" w:space="0"/>
                    <w:right w:val="single" w:color="000000" w:sz="4" w:space="0"/>
                  </w:tcBorders>
                </w:tcPr>
                <w:p>
                  <w:pPr>
                    <w:pStyle w:val="49"/>
                    <w:spacing w:before="24" w:after="24"/>
                    <w:rPr>
                      <w:rFonts w:ascii="Times New Roman" w:eastAsiaTheme="minorEastAsia"/>
                      <w:szCs w:val="21"/>
                    </w:rPr>
                  </w:pPr>
                  <w:r>
                    <w:rPr>
                      <w:rFonts w:ascii="Times New Roman" w:eastAsiaTheme="minorEastAsia"/>
                      <w:szCs w:val="21"/>
                    </w:rPr>
                    <w:t>2万吨</w:t>
                  </w:r>
                </w:p>
              </w:tc>
              <w:tc>
                <w:tcPr>
                  <w:tcW w:w="2149" w:type="pct"/>
                  <w:tcBorders>
                    <w:top w:val="single" w:color="000000" w:sz="4" w:space="0"/>
                    <w:left w:val="nil"/>
                    <w:bottom w:val="single" w:color="000000" w:sz="4" w:space="0"/>
                    <w:right w:val="single" w:color="000000" w:sz="4" w:space="0"/>
                  </w:tcBorders>
                  <w:vAlign w:val="center"/>
                </w:tcPr>
                <w:p>
                  <w:pPr>
                    <w:pStyle w:val="49"/>
                    <w:spacing w:before="24" w:after="24"/>
                    <w:rPr>
                      <w:rFonts w:ascii="Times New Roman" w:eastAsiaTheme="minorEastAsia"/>
                      <w:szCs w:val="21"/>
                    </w:rPr>
                  </w:pPr>
                  <w:r>
                    <w:rPr>
                      <w:rFonts w:ascii="Times New Roman" w:eastAsiaTheme="minorEastAsia"/>
                      <w:szCs w:val="21"/>
                    </w:rPr>
                    <w:t>1-3（粒径16~31.5mm）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7" w:type="pct"/>
                  <w:tcBorders>
                    <w:left w:val="single" w:color="000000" w:sz="4" w:space="0"/>
                    <w:bottom w:val="single" w:color="000000" w:sz="4" w:space="0"/>
                    <w:right w:val="single" w:color="000000" w:sz="4" w:space="0"/>
                  </w:tcBorders>
                  <w:vAlign w:val="center"/>
                </w:tcPr>
                <w:p>
                  <w:pPr>
                    <w:pStyle w:val="49"/>
                    <w:spacing w:before="24" w:after="24"/>
                    <w:rPr>
                      <w:rFonts w:ascii="Times New Roman" w:eastAsiaTheme="minorEastAsia"/>
                      <w:szCs w:val="21"/>
                    </w:rPr>
                  </w:pPr>
                  <w:r>
                    <w:rPr>
                      <w:rFonts w:ascii="Times New Roman" w:eastAsiaTheme="minorEastAsia"/>
                      <w:szCs w:val="21"/>
                    </w:rPr>
                    <w:t>4</w:t>
                  </w:r>
                </w:p>
              </w:tc>
              <w:tc>
                <w:tcPr>
                  <w:tcW w:w="946" w:type="pct"/>
                  <w:tcBorders>
                    <w:top w:val="single" w:color="auto" w:sz="4" w:space="0"/>
                    <w:left w:val="single" w:color="auto" w:sz="4" w:space="0"/>
                    <w:bottom w:val="single" w:color="auto" w:sz="4" w:space="0"/>
                    <w:right w:val="single" w:color="auto" w:sz="4" w:space="0"/>
                  </w:tcBorders>
                  <w:vAlign w:val="center"/>
                </w:tcPr>
                <w:p>
                  <w:pPr>
                    <w:pStyle w:val="49"/>
                    <w:spacing w:before="24" w:after="24"/>
                    <w:rPr>
                      <w:rFonts w:ascii="Times New Roman" w:eastAsiaTheme="minorEastAsia"/>
                      <w:szCs w:val="21"/>
                    </w:rPr>
                  </w:pPr>
                  <w:r>
                    <w:rPr>
                      <w:rFonts w:ascii="Times New Roman" w:eastAsiaTheme="minorEastAsia"/>
                      <w:szCs w:val="21"/>
                    </w:rPr>
                    <w:t>石粉</w:t>
                  </w:r>
                </w:p>
              </w:tc>
              <w:tc>
                <w:tcPr>
                  <w:tcW w:w="1408" w:type="pct"/>
                  <w:tcBorders>
                    <w:top w:val="single" w:color="000000" w:sz="4" w:space="0"/>
                    <w:left w:val="nil"/>
                    <w:bottom w:val="single" w:color="000000" w:sz="4" w:space="0"/>
                    <w:right w:val="single" w:color="000000" w:sz="4" w:space="0"/>
                  </w:tcBorders>
                </w:tcPr>
                <w:p>
                  <w:pPr>
                    <w:pStyle w:val="49"/>
                    <w:spacing w:before="24" w:after="24"/>
                    <w:rPr>
                      <w:rFonts w:ascii="Times New Roman" w:eastAsiaTheme="minorEastAsia"/>
                      <w:szCs w:val="21"/>
                    </w:rPr>
                  </w:pPr>
                  <w:r>
                    <w:rPr>
                      <w:rFonts w:ascii="Times New Roman" w:eastAsiaTheme="minorEastAsia"/>
                      <w:szCs w:val="21"/>
                    </w:rPr>
                    <w:t>2万吨</w:t>
                  </w:r>
                </w:p>
              </w:tc>
              <w:tc>
                <w:tcPr>
                  <w:tcW w:w="2149" w:type="pct"/>
                  <w:tcBorders>
                    <w:top w:val="single" w:color="000000" w:sz="4" w:space="0"/>
                    <w:left w:val="nil"/>
                    <w:bottom w:val="single" w:color="000000" w:sz="4" w:space="0"/>
                    <w:right w:val="single" w:color="000000" w:sz="4" w:space="0"/>
                  </w:tcBorders>
                  <w:vAlign w:val="center"/>
                </w:tcPr>
                <w:p>
                  <w:pPr>
                    <w:pStyle w:val="49"/>
                    <w:spacing w:before="24" w:after="24"/>
                    <w:rPr>
                      <w:rFonts w:ascii="Times New Roman" w:eastAsiaTheme="minorEastAsia"/>
                      <w:szCs w:val="21"/>
                    </w:rPr>
                  </w:pPr>
                  <w:r>
                    <w:rPr>
                      <w:rFonts w:ascii="Times New Roman" w:eastAsiaTheme="minorEastAsia"/>
                      <w:szCs w:val="21"/>
                    </w:rPr>
                    <w:t>粉末（含除尘器收尘）</w:t>
                  </w:r>
                </w:p>
              </w:tc>
            </w:tr>
          </w:tbl>
          <w:p>
            <w:pPr>
              <w:spacing w:before="120" w:beforeLines="50" w:line="360" w:lineRule="auto"/>
              <w:contextualSpacing/>
              <w:rPr>
                <w:b/>
                <w:bCs/>
                <w:sz w:val="24"/>
              </w:rPr>
            </w:pPr>
            <w:r>
              <w:rPr>
                <w:b/>
                <w:bCs/>
                <w:sz w:val="24"/>
              </w:rPr>
              <w:t>2.4原辅材料</w:t>
            </w:r>
            <w:r>
              <w:rPr>
                <w:rFonts w:hint="eastAsia"/>
                <w:b/>
                <w:bCs/>
                <w:sz w:val="24"/>
              </w:rPr>
              <w:t>及能源</w:t>
            </w:r>
            <w:r>
              <w:rPr>
                <w:b/>
                <w:bCs/>
                <w:sz w:val="24"/>
              </w:rPr>
              <w:t>消耗情况</w:t>
            </w:r>
          </w:p>
          <w:p>
            <w:pPr>
              <w:autoSpaceDE w:val="0"/>
              <w:autoSpaceDN w:val="0"/>
              <w:spacing w:line="360" w:lineRule="auto"/>
              <w:ind w:firstLine="480" w:firstLineChars="200"/>
              <w:rPr>
                <w:snapToGrid w:val="0"/>
                <w:sz w:val="24"/>
              </w:rPr>
            </w:pPr>
            <w:r>
              <w:rPr>
                <w:iCs/>
                <w:snapToGrid w:val="0"/>
                <w:sz w:val="24"/>
              </w:rPr>
              <w:t>项目主要原</w:t>
            </w:r>
            <w:r>
              <w:rPr>
                <w:rFonts w:hint="eastAsia"/>
                <w:iCs/>
                <w:snapToGrid w:val="0"/>
                <w:sz w:val="24"/>
              </w:rPr>
              <w:t>辅</w:t>
            </w:r>
            <w:r>
              <w:rPr>
                <w:iCs/>
                <w:snapToGrid w:val="0"/>
                <w:sz w:val="24"/>
              </w:rPr>
              <w:t>材料</w:t>
            </w:r>
            <w:r>
              <w:rPr>
                <w:rFonts w:hint="eastAsia"/>
                <w:iCs/>
                <w:snapToGrid w:val="0"/>
                <w:sz w:val="24"/>
              </w:rPr>
              <w:t>及</w:t>
            </w:r>
            <w:r>
              <w:rPr>
                <w:iCs/>
                <w:snapToGrid w:val="0"/>
                <w:sz w:val="24"/>
              </w:rPr>
              <w:t>能源消耗</w:t>
            </w:r>
            <w:r>
              <w:rPr>
                <w:snapToGrid w:val="0"/>
                <w:sz w:val="24"/>
              </w:rPr>
              <w:t>详见</w:t>
            </w:r>
            <w:r>
              <w:rPr>
                <w:rFonts w:hint="eastAsia"/>
                <w:snapToGrid w:val="0"/>
                <w:sz w:val="24"/>
              </w:rPr>
              <w:t>下</w:t>
            </w:r>
            <w:r>
              <w:rPr>
                <w:snapToGrid w:val="0"/>
                <w:sz w:val="24"/>
              </w:rPr>
              <w:t>表。</w:t>
            </w:r>
          </w:p>
          <w:p>
            <w:pPr>
              <w:spacing w:line="360" w:lineRule="auto"/>
              <w:ind w:right="105" w:rightChars="50"/>
              <w:contextualSpacing/>
              <w:jc w:val="center"/>
              <w:rPr>
                <w:b/>
                <w:bCs/>
                <w:szCs w:val="21"/>
              </w:rPr>
            </w:pPr>
            <w:r>
              <w:rPr>
                <w:b/>
                <w:bCs/>
                <w:szCs w:val="21"/>
              </w:rPr>
              <w:t>表2-3   项目原辅材料消耗情况一览表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211"/>
              <w:gridCol w:w="1810"/>
              <w:gridCol w:w="121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33" w:type="pct"/>
                  <w:vAlign w:val="center"/>
                </w:tcPr>
                <w:p>
                  <w:pPr>
                    <w:pStyle w:val="49"/>
                    <w:adjustRightInd/>
                    <w:snapToGrid/>
                    <w:spacing w:before="24" w:after="24" w:line="240" w:lineRule="auto"/>
                    <w:ind w:left="0" w:leftChars="0" w:right="0" w:rightChars="0"/>
                    <w:rPr>
                      <w:rFonts w:ascii="Times New Roman"/>
                      <w:szCs w:val="21"/>
                    </w:rPr>
                  </w:pPr>
                  <w:r>
                    <w:rPr>
                      <w:rFonts w:ascii="Times New Roman"/>
                      <w:szCs w:val="21"/>
                    </w:rPr>
                    <w:t>序号</w:t>
                  </w:r>
                </w:p>
              </w:tc>
              <w:tc>
                <w:tcPr>
                  <w:tcW w:w="1346" w:type="pct"/>
                  <w:vAlign w:val="center"/>
                </w:tcPr>
                <w:p>
                  <w:pPr>
                    <w:pStyle w:val="49"/>
                    <w:adjustRightInd/>
                    <w:snapToGrid/>
                    <w:spacing w:before="24" w:after="24" w:line="240" w:lineRule="auto"/>
                    <w:ind w:left="0" w:leftChars="0" w:right="0" w:rightChars="0"/>
                    <w:rPr>
                      <w:rFonts w:ascii="Times New Roman"/>
                      <w:szCs w:val="21"/>
                    </w:rPr>
                  </w:pPr>
                  <w:r>
                    <w:rPr>
                      <w:rFonts w:ascii="Times New Roman"/>
                      <w:szCs w:val="21"/>
                    </w:rPr>
                    <w:t>名称</w:t>
                  </w:r>
                </w:p>
              </w:tc>
              <w:tc>
                <w:tcPr>
                  <w:tcW w:w="1102" w:type="pct"/>
                  <w:vAlign w:val="center"/>
                </w:tcPr>
                <w:p>
                  <w:pPr>
                    <w:pStyle w:val="49"/>
                    <w:adjustRightInd/>
                    <w:snapToGrid/>
                    <w:spacing w:before="24" w:after="24" w:line="240" w:lineRule="auto"/>
                    <w:ind w:left="0" w:leftChars="0" w:right="0" w:rightChars="0"/>
                    <w:rPr>
                      <w:rFonts w:ascii="Times New Roman"/>
                      <w:szCs w:val="21"/>
                    </w:rPr>
                  </w:pPr>
                  <w:r>
                    <w:rPr>
                      <w:rFonts w:ascii="Times New Roman"/>
                      <w:szCs w:val="21"/>
                    </w:rPr>
                    <w:t>年用量</w:t>
                  </w:r>
                </w:p>
              </w:tc>
              <w:tc>
                <w:tcPr>
                  <w:tcW w:w="737" w:type="pct"/>
                  <w:vAlign w:val="center"/>
                </w:tcPr>
                <w:p>
                  <w:pPr>
                    <w:pStyle w:val="49"/>
                    <w:adjustRightInd/>
                    <w:snapToGrid/>
                    <w:spacing w:before="24" w:after="24" w:line="240" w:lineRule="auto"/>
                    <w:ind w:left="0" w:leftChars="0" w:right="0" w:rightChars="0"/>
                    <w:rPr>
                      <w:rFonts w:ascii="Times New Roman"/>
                      <w:szCs w:val="21"/>
                    </w:rPr>
                  </w:pPr>
                  <w:r>
                    <w:rPr>
                      <w:rFonts w:ascii="Times New Roman"/>
                      <w:szCs w:val="21"/>
                    </w:rPr>
                    <w:t>储存状态</w:t>
                  </w:r>
                </w:p>
              </w:tc>
              <w:tc>
                <w:tcPr>
                  <w:tcW w:w="1380" w:type="pct"/>
                  <w:vAlign w:val="center"/>
                </w:tcPr>
                <w:p>
                  <w:pPr>
                    <w:pStyle w:val="49"/>
                    <w:adjustRightInd/>
                    <w:snapToGrid/>
                    <w:spacing w:before="24" w:after="24" w:line="240" w:lineRule="auto"/>
                    <w:ind w:left="0" w:leftChars="0" w:right="0" w:rightChars="0"/>
                    <w:rPr>
                      <w:rFonts w:ascii="Times New Roman"/>
                      <w:szCs w:val="21"/>
                    </w:rPr>
                  </w:pPr>
                  <w:r>
                    <w:rPr>
                      <w:rFonts w:ascii="Times New Roman"/>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33" w:type="pct"/>
                  <w:vAlign w:val="center"/>
                </w:tcPr>
                <w:p>
                  <w:pPr>
                    <w:pStyle w:val="49"/>
                    <w:adjustRightInd/>
                    <w:snapToGrid/>
                    <w:spacing w:before="24" w:after="24" w:line="240" w:lineRule="auto"/>
                    <w:ind w:left="0" w:leftChars="0" w:right="0" w:rightChars="0"/>
                    <w:rPr>
                      <w:rFonts w:ascii="Times New Roman"/>
                      <w:szCs w:val="21"/>
                    </w:rPr>
                  </w:pPr>
                  <w:r>
                    <w:rPr>
                      <w:rFonts w:ascii="Times New Roman"/>
                      <w:szCs w:val="21"/>
                    </w:rPr>
                    <w:t>1</w:t>
                  </w:r>
                </w:p>
              </w:tc>
              <w:tc>
                <w:tcPr>
                  <w:tcW w:w="1346" w:type="pct"/>
                  <w:vAlign w:val="center"/>
                </w:tcPr>
                <w:p>
                  <w:pPr>
                    <w:pStyle w:val="49"/>
                    <w:adjustRightInd/>
                    <w:snapToGrid/>
                    <w:spacing w:before="24" w:after="24" w:line="240" w:lineRule="auto"/>
                    <w:ind w:left="0" w:leftChars="0" w:right="0" w:rightChars="0"/>
                    <w:rPr>
                      <w:rFonts w:ascii="Times New Roman"/>
                      <w:szCs w:val="21"/>
                    </w:rPr>
                  </w:pPr>
                  <w:r>
                    <w:rPr>
                      <w:rFonts w:hint="eastAsia" w:ascii="Times New Roman"/>
                      <w:szCs w:val="21"/>
                    </w:rPr>
                    <w:t>废弃建筑水泥块</w:t>
                  </w:r>
                </w:p>
              </w:tc>
              <w:tc>
                <w:tcPr>
                  <w:tcW w:w="1102" w:type="pct"/>
                  <w:vAlign w:val="center"/>
                </w:tcPr>
                <w:p>
                  <w:pPr>
                    <w:jc w:val="center"/>
                    <w:rPr>
                      <w:kern w:val="0"/>
                      <w:szCs w:val="21"/>
                    </w:rPr>
                  </w:pPr>
                  <w:r>
                    <w:rPr>
                      <w:kern w:val="0"/>
                      <w:szCs w:val="21"/>
                    </w:rPr>
                    <w:t>5.5</w:t>
                  </w:r>
                  <w:r>
                    <w:rPr>
                      <w:rFonts w:hint="eastAsia"/>
                      <w:kern w:val="0"/>
                      <w:szCs w:val="21"/>
                    </w:rPr>
                    <w:t>万吨</w:t>
                  </w:r>
                </w:p>
              </w:tc>
              <w:tc>
                <w:tcPr>
                  <w:tcW w:w="737" w:type="pct"/>
                  <w:vMerge w:val="restart"/>
                  <w:vAlign w:val="center"/>
                </w:tcPr>
                <w:p>
                  <w:pPr>
                    <w:pStyle w:val="49"/>
                    <w:adjustRightInd/>
                    <w:snapToGrid/>
                    <w:spacing w:before="24" w:after="24" w:line="240" w:lineRule="auto"/>
                    <w:ind w:left="0" w:leftChars="0" w:right="0" w:rightChars="0"/>
                    <w:rPr>
                      <w:rFonts w:ascii="Times New Roman"/>
                      <w:szCs w:val="21"/>
                    </w:rPr>
                  </w:pPr>
                  <w:r>
                    <w:rPr>
                      <w:rFonts w:ascii="Times New Roman"/>
                      <w:szCs w:val="21"/>
                    </w:rPr>
                    <w:t>原料堆放区</w:t>
                  </w:r>
                </w:p>
              </w:tc>
              <w:tc>
                <w:tcPr>
                  <w:tcW w:w="1380" w:type="pct"/>
                  <w:vMerge w:val="restart"/>
                  <w:vAlign w:val="center"/>
                </w:tcPr>
                <w:p>
                  <w:pPr>
                    <w:jc w:val="center"/>
                    <w:rPr>
                      <w:rFonts w:hint="default" w:eastAsia="宋体"/>
                      <w:kern w:val="0"/>
                      <w:szCs w:val="21"/>
                      <w:lang w:val="en-US" w:eastAsia="zh-CN"/>
                    </w:rPr>
                  </w:pPr>
                  <w:r>
                    <w:rPr>
                      <w:rFonts w:hint="eastAsia"/>
                      <w:kern w:val="0"/>
                      <w:szCs w:val="21"/>
                      <w:lang w:val="en-US" w:eastAsia="zh-CN"/>
                    </w:rPr>
                    <w:t>地铁盾构、高铁洞渣、拆迁建筑废弃材料（见附件五、原材料来源承诺书）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33" w:type="pct"/>
                  <w:vAlign w:val="center"/>
                </w:tcPr>
                <w:p>
                  <w:pPr>
                    <w:pStyle w:val="49"/>
                    <w:adjustRightInd/>
                    <w:snapToGrid/>
                    <w:spacing w:before="24" w:after="24" w:line="240" w:lineRule="auto"/>
                    <w:ind w:left="0" w:leftChars="0" w:right="0" w:rightChars="0"/>
                    <w:rPr>
                      <w:rFonts w:ascii="Times New Roman"/>
                      <w:szCs w:val="21"/>
                    </w:rPr>
                  </w:pPr>
                  <w:r>
                    <w:rPr>
                      <w:rFonts w:ascii="Times New Roman"/>
                      <w:szCs w:val="21"/>
                    </w:rPr>
                    <w:t>2</w:t>
                  </w:r>
                </w:p>
              </w:tc>
              <w:tc>
                <w:tcPr>
                  <w:tcW w:w="1346" w:type="pct"/>
                  <w:vAlign w:val="center"/>
                </w:tcPr>
                <w:p>
                  <w:pPr>
                    <w:pStyle w:val="49"/>
                    <w:adjustRightInd/>
                    <w:snapToGrid/>
                    <w:spacing w:before="24" w:after="24" w:line="240" w:lineRule="auto"/>
                    <w:ind w:left="0" w:leftChars="0" w:right="0" w:rightChars="0"/>
                    <w:rPr>
                      <w:rFonts w:ascii="Times New Roman"/>
                      <w:szCs w:val="21"/>
                    </w:rPr>
                  </w:pPr>
                  <w:r>
                    <w:rPr>
                      <w:rFonts w:hint="eastAsia" w:ascii="Times New Roman"/>
                      <w:szCs w:val="21"/>
                    </w:rPr>
                    <w:t>泥沙石</w:t>
                  </w:r>
                </w:p>
              </w:tc>
              <w:tc>
                <w:tcPr>
                  <w:tcW w:w="1102" w:type="pct"/>
                  <w:vAlign w:val="center"/>
                </w:tcPr>
                <w:p>
                  <w:pPr>
                    <w:jc w:val="center"/>
                    <w:rPr>
                      <w:kern w:val="0"/>
                      <w:szCs w:val="21"/>
                    </w:rPr>
                  </w:pPr>
                  <w:r>
                    <w:rPr>
                      <w:kern w:val="0"/>
                      <w:szCs w:val="21"/>
                    </w:rPr>
                    <w:t>20</w:t>
                  </w:r>
                  <w:r>
                    <w:rPr>
                      <w:rFonts w:hint="eastAsia"/>
                      <w:kern w:val="0"/>
                      <w:szCs w:val="21"/>
                    </w:rPr>
                    <w:t>万吨</w:t>
                  </w:r>
                </w:p>
              </w:tc>
              <w:tc>
                <w:tcPr>
                  <w:tcW w:w="737" w:type="pct"/>
                  <w:vMerge w:val="continue"/>
                  <w:vAlign w:val="center"/>
                </w:tcPr>
                <w:p>
                  <w:pPr>
                    <w:pStyle w:val="49"/>
                    <w:adjustRightInd/>
                    <w:snapToGrid/>
                    <w:spacing w:before="24" w:after="24" w:line="240" w:lineRule="auto"/>
                    <w:ind w:left="0" w:leftChars="0" w:right="0" w:rightChars="0"/>
                    <w:rPr>
                      <w:rFonts w:ascii="Times New Roman"/>
                      <w:szCs w:val="21"/>
                    </w:rPr>
                  </w:pPr>
                </w:p>
              </w:tc>
              <w:tc>
                <w:tcPr>
                  <w:tcW w:w="1380" w:type="pct"/>
                  <w:vMerge w:val="continue"/>
                  <w:vAlign w:val="center"/>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33" w:type="pct"/>
                  <w:vAlign w:val="center"/>
                </w:tcPr>
                <w:p>
                  <w:pPr>
                    <w:pStyle w:val="49"/>
                    <w:adjustRightInd/>
                    <w:snapToGrid/>
                    <w:spacing w:before="24" w:after="24" w:line="240" w:lineRule="auto"/>
                    <w:ind w:left="0" w:leftChars="0" w:right="0" w:rightChars="0"/>
                    <w:rPr>
                      <w:rFonts w:ascii="Times New Roman"/>
                      <w:szCs w:val="21"/>
                    </w:rPr>
                  </w:pPr>
                  <w:r>
                    <w:rPr>
                      <w:rFonts w:ascii="Times New Roman"/>
                      <w:szCs w:val="21"/>
                    </w:rPr>
                    <w:t>4</w:t>
                  </w:r>
                </w:p>
              </w:tc>
              <w:tc>
                <w:tcPr>
                  <w:tcW w:w="1346" w:type="pct"/>
                  <w:vAlign w:val="center"/>
                </w:tcPr>
                <w:p>
                  <w:pPr>
                    <w:pStyle w:val="49"/>
                    <w:adjustRightInd/>
                    <w:snapToGrid/>
                    <w:spacing w:before="24" w:after="24" w:line="240" w:lineRule="auto"/>
                    <w:ind w:left="0" w:leftChars="0" w:right="0" w:rightChars="0"/>
                    <w:rPr>
                      <w:rFonts w:ascii="Times New Roman"/>
                      <w:szCs w:val="21"/>
                    </w:rPr>
                  </w:pPr>
                  <w:r>
                    <w:rPr>
                      <w:rFonts w:ascii="Times New Roman"/>
                      <w:szCs w:val="21"/>
                    </w:rPr>
                    <w:t>絮凝剂</w:t>
                  </w:r>
                </w:p>
              </w:tc>
              <w:tc>
                <w:tcPr>
                  <w:tcW w:w="1102" w:type="pct"/>
                  <w:vAlign w:val="center"/>
                </w:tcPr>
                <w:p>
                  <w:pPr>
                    <w:jc w:val="center"/>
                    <w:rPr>
                      <w:kern w:val="0"/>
                      <w:szCs w:val="21"/>
                    </w:rPr>
                  </w:pPr>
                  <w:r>
                    <w:rPr>
                      <w:kern w:val="0"/>
                      <w:szCs w:val="21"/>
                    </w:rPr>
                    <w:t>5</w:t>
                  </w:r>
                  <w:r>
                    <w:rPr>
                      <w:rFonts w:hint="eastAsia"/>
                      <w:kern w:val="0"/>
                      <w:szCs w:val="21"/>
                    </w:rPr>
                    <w:t>吨</w:t>
                  </w:r>
                </w:p>
              </w:tc>
              <w:tc>
                <w:tcPr>
                  <w:tcW w:w="737" w:type="pct"/>
                  <w:vAlign w:val="center"/>
                </w:tcPr>
                <w:p>
                  <w:pPr>
                    <w:pStyle w:val="49"/>
                    <w:adjustRightInd/>
                    <w:snapToGrid/>
                    <w:spacing w:before="24" w:after="24" w:line="240" w:lineRule="auto"/>
                    <w:ind w:left="0" w:leftChars="0" w:right="0" w:rightChars="0"/>
                    <w:rPr>
                      <w:rFonts w:ascii="Times New Roman"/>
                      <w:szCs w:val="21"/>
                    </w:rPr>
                  </w:pPr>
                  <w:r>
                    <w:rPr>
                      <w:rFonts w:ascii="Times New Roman"/>
                      <w:szCs w:val="21"/>
                    </w:rPr>
                    <w:t>污水处理</w:t>
                  </w:r>
                </w:p>
              </w:tc>
              <w:tc>
                <w:tcPr>
                  <w:tcW w:w="1380" w:type="pct"/>
                  <w:vAlign w:val="center"/>
                </w:tcPr>
                <w:p>
                  <w:pPr>
                    <w:jc w:val="center"/>
                    <w:rPr>
                      <w:kern w:val="0"/>
                      <w:szCs w:val="21"/>
                    </w:rPr>
                  </w:pPr>
                  <w:r>
                    <w:rPr>
                      <w:kern w:val="0"/>
                      <w:szCs w:val="21"/>
                    </w:rPr>
                    <w:t>市场购入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33" w:type="pct"/>
                  <w:vAlign w:val="center"/>
                </w:tcPr>
                <w:p>
                  <w:pPr>
                    <w:pStyle w:val="49"/>
                    <w:adjustRightInd/>
                    <w:snapToGrid/>
                    <w:spacing w:before="24" w:after="24" w:line="240" w:lineRule="auto"/>
                    <w:ind w:left="0" w:leftChars="0" w:right="0" w:rightChars="0"/>
                    <w:rPr>
                      <w:rFonts w:ascii="Times New Roman"/>
                      <w:szCs w:val="21"/>
                    </w:rPr>
                  </w:pPr>
                  <w:r>
                    <w:rPr>
                      <w:rFonts w:ascii="Times New Roman"/>
                      <w:szCs w:val="21"/>
                    </w:rPr>
                    <w:t>6</w:t>
                  </w:r>
                </w:p>
              </w:tc>
              <w:tc>
                <w:tcPr>
                  <w:tcW w:w="1346" w:type="pct"/>
                  <w:vAlign w:val="center"/>
                </w:tcPr>
                <w:p>
                  <w:pPr>
                    <w:pStyle w:val="49"/>
                    <w:adjustRightInd/>
                    <w:snapToGrid/>
                    <w:spacing w:before="24" w:after="24" w:line="240" w:lineRule="auto"/>
                    <w:ind w:left="0" w:leftChars="0" w:right="0" w:rightChars="0"/>
                    <w:rPr>
                      <w:rFonts w:ascii="Times New Roman"/>
                      <w:szCs w:val="21"/>
                    </w:rPr>
                  </w:pPr>
                  <w:r>
                    <w:rPr>
                      <w:rFonts w:ascii="Times New Roman"/>
                      <w:szCs w:val="21"/>
                    </w:rPr>
                    <w:t>水</w:t>
                  </w:r>
                </w:p>
              </w:tc>
              <w:tc>
                <w:tcPr>
                  <w:tcW w:w="1102" w:type="pct"/>
                  <w:vAlign w:val="center"/>
                </w:tcPr>
                <w:p>
                  <w:pPr>
                    <w:jc w:val="center"/>
                    <w:rPr>
                      <w:kern w:val="0"/>
                      <w:szCs w:val="21"/>
                    </w:rPr>
                  </w:pPr>
                  <w:r>
                    <w:rPr>
                      <w:kern w:val="0"/>
                      <w:szCs w:val="21"/>
                    </w:rPr>
                    <w:t>19214m</w:t>
                  </w:r>
                  <w:r>
                    <w:rPr>
                      <w:kern w:val="0"/>
                      <w:szCs w:val="21"/>
                      <w:vertAlign w:val="superscript"/>
                    </w:rPr>
                    <w:t>3</w:t>
                  </w:r>
                  <w:r>
                    <w:rPr>
                      <w:kern w:val="0"/>
                      <w:szCs w:val="21"/>
                    </w:rPr>
                    <w:t>/a</w:t>
                  </w:r>
                </w:p>
              </w:tc>
              <w:tc>
                <w:tcPr>
                  <w:tcW w:w="737" w:type="pct"/>
                  <w:vAlign w:val="center"/>
                </w:tcPr>
                <w:p>
                  <w:pPr>
                    <w:jc w:val="center"/>
                    <w:rPr>
                      <w:szCs w:val="21"/>
                    </w:rPr>
                  </w:pPr>
                  <w:r>
                    <w:rPr>
                      <w:szCs w:val="21"/>
                    </w:rPr>
                    <w:t>/</w:t>
                  </w:r>
                </w:p>
              </w:tc>
              <w:tc>
                <w:tcPr>
                  <w:tcW w:w="1380" w:type="pct"/>
                  <w:vAlign w:val="center"/>
                </w:tcPr>
                <w:p>
                  <w:pPr>
                    <w:jc w:val="center"/>
                    <w:rPr>
                      <w:kern w:val="0"/>
                      <w:szCs w:val="21"/>
                    </w:rPr>
                  </w:pPr>
                  <w:r>
                    <w:rPr>
                      <w:rFonts w:hint="eastAsia"/>
                      <w:kern w:val="0"/>
                      <w:szCs w:val="21"/>
                    </w:rPr>
                    <w:t>自来水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33" w:type="pct"/>
                  <w:vAlign w:val="center"/>
                </w:tcPr>
                <w:p>
                  <w:pPr>
                    <w:pStyle w:val="49"/>
                    <w:adjustRightInd/>
                    <w:snapToGrid/>
                    <w:spacing w:before="24" w:after="24" w:line="240" w:lineRule="auto"/>
                    <w:ind w:left="0" w:leftChars="0" w:right="0" w:rightChars="0"/>
                    <w:rPr>
                      <w:rFonts w:ascii="Times New Roman"/>
                      <w:szCs w:val="21"/>
                    </w:rPr>
                  </w:pPr>
                  <w:r>
                    <w:rPr>
                      <w:rFonts w:ascii="Times New Roman"/>
                      <w:szCs w:val="21"/>
                    </w:rPr>
                    <w:t>7</w:t>
                  </w:r>
                </w:p>
              </w:tc>
              <w:tc>
                <w:tcPr>
                  <w:tcW w:w="1346" w:type="pct"/>
                  <w:vAlign w:val="center"/>
                </w:tcPr>
                <w:p>
                  <w:pPr>
                    <w:pStyle w:val="49"/>
                    <w:adjustRightInd/>
                    <w:snapToGrid/>
                    <w:spacing w:before="24" w:after="24" w:line="240" w:lineRule="auto"/>
                    <w:ind w:left="0" w:leftChars="0" w:right="0" w:rightChars="0"/>
                    <w:rPr>
                      <w:rFonts w:ascii="Times New Roman"/>
                      <w:szCs w:val="21"/>
                    </w:rPr>
                  </w:pPr>
                  <w:r>
                    <w:rPr>
                      <w:rFonts w:ascii="Times New Roman"/>
                      <w:szCs w:val="21"/>
                    </w:rPr>
                    <w:t>电</w:t>
                  </w:r>
                </w:p>
              </w:tc>
              <w:tc>
                <w:tcPr>
                  <w:tcW w:w="1102" w:type="pct"/>
                  <w:vAlign w:val="center"/>
                </w:tcPr>
                <w:p>
                  <w:pPr>
                    <w:jc w:val="center"/>
                    <w:rPr>
                      <w:kern w:val="0"/>
                      <w:szCs w:val="21"/>
                    </w:rPr>
                  </w:pPr>
                  <w:r>
                    <w:rPr>
                      <w:kern w:val="0"/>
                      <w:szCs w:val="21"/>
                    </w:rPr>
                    <w:t>15万kWh/a</w:t>
                  </w:r>
                </w:p>
              </w:tc>
              <w:tc>
                <w:tcPr>
                  <w:tcW w:w="737" w:type="pct"/>
                  <w:vAlign w:val="center"/>
                </w:tcPr>
                <w:p>
                  <w:pPr>
                    <w:jc w:val="center"/>
                    <w:rPr>
                      <w:szCs w:val="21"/>
                    </w:rPr>
                  </w:pPr>
                  <w:r>
                    <w:rPr>
                      <w:szCs w:val="21"/>
                    </w:rPr>
                    <w:t>/</w:t>
                  </w:r>
                </w:p>
              </w:tc>
              <w:tc>
                <w:tcPr>
                  <w:tcW w:w="1380" w:type="pct"/>
                  <w:vAlign w:val="center"/>
                </w:tcPr>
                <w:p>
                  <w:pPr>
                    <w:jc w:val="center"/>
                    <w:rPr>
                      <w:kern w:val="0"/>
                      <w:szCs w:val="21"/>
                    </w:rPr>
                  </w:pPr>
                  <w:r>
                    <w:rPr>
                      <w:kern w:val="0"/>
                      <w:szCs w:val="21"/>
                    </w:rPr>
                    <w:t>市政</w:t>
                  </w:r>
                </w:p>
              </w:tc>
            </w:tr>
          </w:tbl>
          <w:p>
            <w:pPr>
              <w:spacing w:line="360" w:lineRule="auto"/>
              <w:ind w:firstLine="482" w:firstLineChars="200"/>
              <w:rPr>
                <w:b/>
                <w:bCs/>
                <w:sz w:val="24"/>
              </w:rPr>
            </w:pPr>
            <w:r>
              <w:rPr>
                <w:rFonts w:hint="eastAsia"/>
                <w:b/>
                <w:bCs/>
                <w:sz w:val="24"/>
              </w:rPr>
              <w:t>原</w:t>
            </w:r>
            <w:r>
              <w:rPr>
                <w:b/>
                <w:bCs/>
                <w:sz w:val="24"/>
              </w:rPr>
              <w:t>辅</w:t>
            </w:r>
            <w:r>
              <w:rPr>
                <w:rFonts w:hint="eastAsia"/>
                <w:b/>
                <w:bCs/>
                <w:sz w:val="24"/>
              </w:rPr>
              <w:t>材料理</w:t>
            </w:r>
            <w:r>
              <w:rPr>
                <w:b/>
                <w:bCs/>
                <w:sz w:val="24"/>
              </w:rPr>
              <w:t>化性质：</w:t>
            </w:r>
          </w:p>
          <w:p>
            <w:pPr>
              <w:autoSpaceDE w:val="0"/>
              <w:autoSpaceDN w:val="0"/>
              <w:spacing w:line="360" w:lineRule="auto"/>
              <w:ind w:firstLine="480" w:firstLineChars="200"/>
              <w:rPr>
                <w:kern w:val="0"/>
                <w:sz w:val="24"/>
              </w:rPr>
            </w:pPr>
            <w:r>
              <w:rPr>
                <w:kern w:val="0"/>
                <w:sz w:val="24"/>
              </w:rPr>
              <w:t>聚合氯化铝：它是无机高分子物，是出于氯化铝和氢氧化氯之间的产物，它是通过羟基而、假桥聚合，分子中带有少量的不等的氰基，常有叫它径基聚合氧化铝。为无色或黄色树脂状固体。其溶液为无色或黄褐色透明液体。有时因含什质而显黑色，固体产品中氧化铝含量为20-40％，碱式氯化铝含量 20%左右，黄色聚合氯化铝≥30%。液体产品含氧化铝8%左右，水解过程中伴有电化学，凝聚、吸附和沉淀等物理化学过程，除去水中悬浮物，除铁、除镉、除氟、除漂浮物等。</w:t>
            </w:r>
          </w:p>
          <w:p>
            <w:pPr>
              <w:spacing w:line="360" w:lineRule="auto"/>
              <w:rPr>
                <w:b/>
                <w:sz w:val="24"/>
              </w:rPr>
            </w:pPr>
            <w:r>
              <w:rPr>
                <w:b/>
                <w:sz w:val="24"/>
              </w:rPr>
              <w:t>2.5主要生产设备</w:t>
            </w:r>
          </w:p>
          <w:p>
            <w:pPr>
              <w:spacing w:line="360" w:lineRule="auto"/>
              <w:ind w:firstLine="480" w:firstLineChars="200"/>
              <w:rPr>
                <w:b/>
                <w:sz w:val="24"/>
              </w:rPr>
            </w:pPr>
            <w:r>
              <w:rPr>
                <w:sz w:val="24"/>
              </w:rPr>
              <w:t>本项目运营期主要生产设备见表2-4。</w:t>
            </w:r>
          </w:p>
          <w:p>
            <w:pPr>
              <w:spacing w:line="360" w:lineRule="auto"/>
              <w:ind w:right="105" w:rightChars="50"/>
              <w:contextualSpacing/>
              <w:jc w:val="center"/>
              <w:rPr>
                <w:b/>
                <w:bCs/>
                <w:szCs w:val="21"/>
              </w:rPr>
            </w:pPr>
            <w:r>
              <w:rPr>
                <w:b/>
                <w:bCs/>
                <w:szCs w:val="21"/>
              </w:rPr>
              <w:t>表2-4  主要生产设备一览表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58"/>
              <w:gridCol w:w="3291"/>
              <w:gridCol w:w="1875"/>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4" w:type="pct"/>
                  <w:vAlign w:val="center"/>
                </w:tcPr>
                <w:p>
                  <w:pPr>
                    <w:widowControl/>
                    <w:spacing w:line="340" w:lineRule="exact"/>
                    <w:jc w:val="center"/>
                    <w:rPr>
                      <w:szCs w:val="21"/>
                    </w:rPr>
                  </w:pPr>
                  <w:r>
                    <w:rPr>
                      <w:szCs w:val="21"/>
                    </w:rPr>
                    <w:t>序号</w:t>
                  </w:r>
                </w:p>
              </w:tc>
              <w:tc>
                <w:tcPr>
                  <w:tcW w:w="2004" w:type="pct"/>
                  <w:vAlign w:val="center"/>
                </w:tcPr>
                <w:p>
                  <w:pPr>
                    <w:widowControl/>
                    <w:spacing w:line="340" w:lineRule="exact"/>
                    <w:jc w:val="center"/>
                    <w:rPr>
                      <w:szCs w:val="21"/>
                    </w:rPr>
                  </w:pPr>
                  <w:r>
                    <w:rPr>
                      <w:szCs w:val="21"/>
                    </w:rPr>
                    <w:t>产品名称</w:t>
                  </w:r>
                </w:p>
              </w:tc>
              <w:tc>
                <w:tcPr>
                  <w:tcW w:w="1142" w:type="pct"/>
                  <w:vAlign w:val="center"/>
                </w:tcPr>
                <w:p>
                  <w:pPr>
                    <w:widowControl/>
                    <w:spacing w:line="340" w:lineRule="exact"/>
                    <w:jc w:val="center"/>
                    <w:rPr>
                      <w:szCs w:val="21"/>
                    </w:rPr>
                  </w:pPr>
                  <w:r>
                    <w:rPr>
                      <w:szCs w:val="21"/>
                    </w:rPr>
                    <w:t>规格型号</w:t>
                  </w:r>
                </w:p>
              </w:tc>
              <w:tc>
                <w:tcPr>
                  <w:tcW w:w="1210" w:type="pct"/>
                  <w:vAlign w:val="center"/>
                </w:tcPr>
                <w:p>
                  <w:pPr>
                    <w:widowControl/>
                    <w:spacing w:line="340" w:lineRule="exact"/>
                    <w:jc w:val="center"/>
                    <w:rPr>
                      <w:szCs w:val="21"/>
                    </w:rPr>
                  </w:pPr>
                  <w:r>
                    <w:rPr>
                      <w:szCs w:val="21"/>
                    </w:rPr>
                    <w:t>数量</w:t>
                  </w:r>
                  <w:r>
                    <w:rPr>
                      <w:rFonts w:hint="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4" w:type="pct"/>
                  <w:vAlign w:val="center"/>
                </w:tcPr>
                <w:p>
                  <w:pPr>
                    <w:widowControl/>
                    <w:spacing w:line="340" w:lineRule="exact"/>
                    <w:jc w:val="center"/>
                    <w:rPr>
                      <w:szCs w:val="21"/>
                    </w:rPr>
                  </w:pPr>
                  <w:r>
                    <w:rPr>
                      <w:szCs w:val="21"/>
                    </w:rPr>
                    <w:t>1</w:t>
                  </w:r>
                </w:p>
              </w:tc>
              <w:tc>
                <w:tcPr>
                  <w:tcW w:w="2004" w:type="pct"/>
                  <w:vAlign w:val="center"/>
                </w:tcPr>
                <w:p>
                  <w:pPr>
                    <w:widowControl/>
                    <w:jc w:val="center"/>
                    <w:rPr>
                      <w:szCs w:val="21"/>
                    </w:rPr>
                  </w:pPr>
                  <w:r>
                    <w:rPr>
                      <w:szCs w:val="21"/>
                    </w:rPr>
                    <w:t>振动给料机</w:t>
                  </w:r>
                </w:p>
              </w:tc>
              <w:tc>
                <w:tcPr>
                  <w:tcW w:w="1142" w:type="pct"/>
                  <w:vAlign w:val="center"/>
                </w:tcPr>
                <w:p>
                  <w:pPr>
                    <w:widowControl/>
                    <w:jc w:val="center"/>
                    <w:rPr>
                      <w:szCs w:val="21"/>
                    </w:rPr>
                  </w:pPr>
                  <w:r>
                    <w:rPr>
                      <w:rFonts w:hint="eastAsia"/>
                      <w:szCs w:val="21"/>
                    </w:rPr>
                    <w:t>ZSW</w:t>
                  </w:r>
                </w:p>
              </w:tc>
              <w:tc>
                <w:tcPr>
                  <w:tcW w:w="1210" w:type="pct"/>
                  <w:vAlign w:val="center"/>
                </w:tcPr>
                <w:p>
                  <w:pPr>
                    <w:widowControl/>
                    <w:spacing w:line="340" w:lineRule="exac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4" w:type="pct"/>
                  <w:vAlign w:val="center"/>
                </w:tcPr>
                <w:p>
                  <w:pPr>
                    <w:widowControl/>
                    <w:spacing w:line="340" w:lineRule="exact"/>
                    <w:jc w:val="center"/>
                    <w:rPr>
                      <w:szCs w:val="21"/>
                    </w:rPr>
                  </w:pPr>
                  <w:r>
                    <w:rPr>
                      <w:szCs w:val="21"/>
                    </w:rPr>
                    <w:t>2</w:t>
                  </w:r>
                </w:p>
              </w:tc>
              <w:tc>
                <w:tcPr>
                  <w:tcW w:w="2004" w:type="pct"/>
                  <w:vAlign w:val="center"/>
                </w:tcPr>
                <w:p>
                  <w:pPr>
                    <w:widowControl/>
                    <w:jc w:val="center"/>
                    <w:rPr>
                      <w:szCs w:val="21"/>
                    </w:rPr>
                  </w:pPr>
                  <w:r>
                    <w:rPr>
                      <w:szCs w:val="21"/>
                    </w:rPr>
                    <w:t>颚式破碎机</w:t>
                  </w:r>
                </w:p>
              </w:tc>
              <w:tc>
                <w:tcPr>
                  <w:tcW w:w="1142" w:type="pct"/>
                  <w:vAlign w:val="center"/>
                </w:tcPr>
                <w:p>
                  <w:pPr>
                    <w:widowControl/>
                    <w:jc w:val="center"/>
                    <w:rPr>
                      <w:szCs w:val="21"/>
                    </w:rPr>
                  </w:pPr>
                  <w:r>
                    <w:rPr>
                      <w:rFonts w:hint="eastAsia"/>
                      <w:szCs w:val="21"/>
                    </w:rPr>
                    <w:t>PE</w:t>
                  </w:r>
                </w:p>
              </w:tc>
              <w:tc>
                <w:tcPr>
                  <w:tcW w:w="1210" w:type="pct"/>
                  <w:vAlign w:val="center"/>
                </w:tcPr>
                <w:p>
                  <w:pPr>
                    <w:widowControl/>
                    <w:spacing w:line="340" w:lineRule="exac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4" w:type="pct"/>
                  <w:vAlign w:val="center"/>
                </w:tcPr>
                <w:p>
                  <w:pPr>
                    <w:widowControl/>
                    <w:spacing w:line="340" w:lineRule="exact"/>
                    <w:jc w:val="center"/>
                    <w:rPr>
                      <w:szCs w:val="21"/>
                    </w:rPr>
                  </w:pPr>
                  <w:r>
                    <w:rPr>
                      <w:szCs w:val="21"/>
                    </w:rPr>
                    <w:t>3</w:t>
                  </w:r>
                </w:p>
              </w:tc>
              <w:tc>
                <w:tcPr>
                  <w:tcW w:w="2004" w:type="pct"/>
                  <w:vAlign w:val="center"/>
                </w:tcPr>
                <w:p>
                  <w:pPr>
                    <w:widowControl/>
                    <w:jc w:val="center"/>
                    <w:rPr>
                      <w:szCs w:val="21"/>
                    </w:rPr>
                  </w:pPr>
                  <w:r>
                    <w:rPr>
                      <w:szCs w:val="21"/>
                    </w:rPr>
                    <w:t>反击式破碎机</w:t>
                  </w:r>
                </w:p>
              </w:tc>
              <w:tc>
                <w:tcPr>
                  <w:tcW w:w="1142" w:type="pct"/>
                </w:tcPr>
                <w:p>
                  <w:pPr>
                    <w:widowControl/>
                    <w:jc w:val="center"/>
                    <w:rPr>
                      <w:szCs w:val="21"/>
                    </w:rPr>
                  </w:pPr>
                  <w:r>
                    <w:rPr>
                      <w:rFonts w:hint="eastAsia"/>
                      <w:szCs w:val="21"/>
                    </w:rPr>
                    <w:t>PEF</w:t>
                  </w:r>
                </w:p>
              </w:tc>
              <w:tc>
                <w:tcPr>
                  <w:tcW w:w="1210" w:type="pct"/>
                  <w:vAlign w:val="center"/>
                </w:tcPr>
                <w:p>
                  <w:pPr>
                    <w:widowControl/>
                    <w:spacing w:line="340" w:lineRule="exact"/>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4" w:type="pct"/>
                  <w:vAlign w:val="center"/>
                </w:tcPr>
                <w:p>
                  <w:pPr>
                    <w:widowControl/>
                    <w:spacing w:line="340" w:lineRule="exact"/>
                    <w:jc w:val="center"/>
                    <w:rPr>
                      <w:szCs w:val="21"/>
                    </w:rPr>
                  </w:pPr>
                  <w:r>
                    <w:rPr>
                      <w:szCs w:val="21"/>
                    </w:rPr>
                    <w:t>4</w:t>
                  </w:r>
                </w:p>
              </w:tc>
              <w:tc>
                <w:tcPr>
                  <w:tcW w:w="2004" w:type="pct"/>
                  <w:vAlign w:val="center"/>
                </w:tcPr>
                <w:p>
                  <w:pPr>
                    <w:widowControl/>
                    <w:jc w:val="center"/>
                    <w:rPr>
                      <w:szCs w:val="21"/>
                    </w:rPr>
                  </w:pPr>
                  <w:r>
                    <w:rPr>
                      <w:szCs w:val="21"/>
                    </w:rPr>
                    <w:t>复合圆锥机</w:t>
                  </w:r>
                </w:p>
              </w:tc>
              <w:tc>
                <w:tcPr>
                  <w:tcW w:w="1142" w:type="pct"/>
                </w:tcPr>
                <w:p>
                  <w:pPr>
                    <w:widowControl/>
                    <w:jc w:val="center"/>
                    <w:rPr>
                      <w:szCs w:val="21"/>
                    </w:rPr>
                  </w:pPr>
                  <w:r>
                    <w:rPr>
                      <w:rFonts w:hint="eastAsia"/>
                      <w:szCs w:val="21"/>
                    </w:rPr>
                    <w:t>GHP</w:t>
                  </w:r>
                </w:p>
              </w:tc>
              <w:tc>
                <w:tcPr>
                  <w:tcW w:w="1210" w:type="pct"/>
                  <w:vAlign w:val="center"/>
                </w:tcPr>
                <w:p>
                  <w:pPr>
                    <w:widowControl/>
                    <w:spacing w:line="340" w:lineRule="exact"/>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4" w:type="pct"/>
                  <w:vAlign w:val="center"/>
                </w:tcPr>
                <w:p>
                  <w:pPr>
                    <w:widowControl/>
                    <w:spacing w:line="340" w:lineRule="exact"/>
                    <w:jc w:val="center"/>
                    <w:rPr>
                      <w:szCs w:val="21"/>
                    </w:rPr>
                  </w:pPr>
                  <w:r>
                    <w:rPr>
                      <w:szCs w:val="21"/>
                    </w:rPr>
                    <w:t>5</w:t>
                  </w:r>
                </w:p>
              </w:tc>
              <w:tc>
                <w:tcPr>
                  <w:tcW w:w="2004" w:type="pct"/>
                  <w:vAlign w:val="center"/>
                </w:tcPr>
                <w:p>
                  <w:pPr>
                    <w:widowControl/>
                    <w:jc w:val="center"/>
                    <w:rPr>
                      <w:szCs w:val="21"/>
                    </w:rPr>
                  </w:pPr>
                  <w:r>
                    <w:rPr>
                      <w:szCs w:val="21"/>
                    </w:rPr>
                    <w:t>圆振动筛</w:t>
                  </w:r>
                </w:p>
              </w:tc>
              <w:tc>
                <w:tcPr>
                  <w:tcW w:w="1142" w:type="pct"/>
                </w:tcPr>
                <w:p>
                  <w:pPr>
                    <w:widowControl/>
                    <w:jc w:val="center"/>
                    <w:rPr>
                      <w:szCs w:val="21"/>
                    </w:rPr>
                  </w:pPr>
                  <w:r>
                    <w:rPr>
                      <w:rFonts w:hint="eastAsia"/>
                      <w:szCs w:val="21"/>
                    </w:rPr>
                    <w:t>3YK</w:t>
                  </w:r>
                </w:p>
              </w:tc>
              <w:tc>
                <w:tcPr>
                  <w:tcW w:w="1210" w:type="pct"/>
                  <w:vAlign w:val="center"/>
                </w:tcPr>
                <w:p>
                  <w:pPr>
                    <w:widowControl/>
                    <w:spacing w:line="340" w:lineRule="exact"/>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4" w:type="pct"/>
                  <w:vAlign w:val="center"/>
                </w:tcPr>
                <w:p>
                  <w:pPr>
                    <w:widowControl/>
                    <w:spacing w:line="340" w:lineRule="exact"/>
                    <w:jc w:val="center"/>
                    <w:rPr>
                      <w:szCs w:val="21"/>
                    </w:rPr>
                  </w:pPr>
                  <w:r>
                    <w:rPr>
                      <w:szCs w:val="21"/>
                    </w:rPr>
                    <w:t>6</w:t>
                  </w:r>
                </w:p>
              </w:tc>
              <w:tc>
                <w:tcPr>
                  <w:tcW w:w="2004" w:type="pct"/>
                  <w:vAlign w:val="center"/>
                </w:tcPr>
                <w:p>
                  <w:pPr>
                    <w:widowControl/>
                    <w:jc w:val="center"/>
                    <w:rPr>
                      <w:szCs w:val="21"/>
                    </w:rPr>
                  </w:pPr>
                  <w:r>
                    <w:rPr>
                      <w:szCs w:val="21"/>
                    </w:rPr>
                    <w:t>圆振动筛</w:t>
                  </w:r>
                </w:p>
              </w:tc>
              <w:tc>
                <w:tcPr>
                  <w:tcW w:w="1142" w:type="pct"/>
                  <w:vAlign w:val="center"/>
                </w:tcPr>
                <w:p>
                  <w:pPr>
                    <w:widowControl/>
                    <w:jc w:val="center"/>
                    <w:rPr>
                      <w:szCs w:val="21"/>
                    </w:rPr>
                  </w:pPr>
                  <w:r>
                    <w:rPr>
                      <w:rFonts w:hint="eastAsia"/>
                      <w:szCs w:val="21"/>
                    </w:rPr>
                    <w:t>3YK</w:t>
                  </w:r>
                </w:p>
              </w:tc>
              <w:tc>
                <w:tcPr>
                  <w:tcW w:w="1210" w:type="pct"/>
                  <w:vAlign w:val="center"/>
                </w:tcPr>
                <w:p>
                  <w:pPr>
                    <w:widowControl/>
                    <w:spacing w:line="340" w:lineRule="exac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4" w:type="pct"/>
                  <w:vAlign w:val="center"/>
                </w:tcPr>
                <w:p>
                  <w:pPr>
                    <w:widowControl/>
                    <w:spacing w:line="340" w:lineRule="exact"/>
                    <w:jc w:val="center"/>
                    <w:rPr>
                      <w:szCs w:val="21"/>
                    </w:rPr>
                  </w:pPr>
                  <w:r>
                    <w:rPr>
                      <w:szCs w:val="21"/>
                    </w:rPr>
                    <w:t>7</w:t>
                  </w:r>
                </w:p>
              </w:tc>
              <w:tc>
                <w:tcPr>
                  <w:tcW w:w="2004" w:type="pct"/>
                  <w:vAlign w:val="center"/>
                </w:tcPr>
                <w:p>
                  <w:pPr>
                    <w:widowControl/>
                    <w:jc w:val="center"/>
                    <w:rPr>
                      <w:szCs w:val="21"/>
                    </w:rPr>
                  </w:pPr>
                  <w:r>
                    <w:rPr>
                      <w:szCs w:val="21"/>
                    </w:rPr>
                    <w:t>脱水回收机</w:t>
                  </w:r>
                </w:p>
              </w:tc>
              <w:tc>
                <w:tcPr>
                  <w:tcW w:w="1142" w:type="pct"/>
                  <w:vAlign w:val="center"/>
                </w:tcPr>
                <w:p>
                  <w:pPr>
                    <w:widowControl/>
                    <w:jc w:val="center"/>
                    <w:rPr>
                      <w:szCs w:val="21"/>
                    </w:rPr>
                  </w:pPr>
                  <w:r>
                    <w:rPr>
                      <w:rFonts w:hint="eastAsia"/>
                      <w:szCs w:val="21"/>
                    </w:rPr>
                    <w:t>ths</w:t>
                  </w:r>
                </w:p>
              </w:tc>
              <w:tc>
                <w:tcPr>
                  <w:tcW w:w="1210" w:type="pct"/>
                  <w:vAlign w:val="center"/>
                </w:tcPr>
                <w:p>
                  <w:pPr>
                    <w:widowControl/>
                    <w:spacing w:line="340" w:lineRule="exac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4" w:type="pct"/>
                  <w:vAlign w:val="center"/>
                </w:tcPr>
                <w:p>
                  <w:pPr>
                    <w:widowControl/>
                    <w:spacing w:line="340" w:lineRule="exact"/>
                    <w:jc w:val="center"/>
                    <w:rPr>
                      <w:szCs w:val="21"/>
                    </w:rPr>
                  </w:pPr>
                  <w:r>
                    <w:rPr>
                      <w:szCs w:val="21"/>
                    </w:rPr>
                    <w:t>8</w:t>
                  </w:r>
                </w:p>
              </w:tc>
              <w:tc>
                <w:tcPr>
                  <w:tcW w:w="2004" w:type="pct"/>
                  <w:vAlign w:val="center"/>
                </w:tcPr>
                <w:p>
                  <w:pPr>
                    <w:widowControl/>
                    <w:jc w:val="center"/>
                    <w:rPr>
                      <w:szCs w:val="21"/>
                    </w:rPr>
                  </w:pPr>
                  <w:r>
                    <w:rPr>
                      <w:szCs w:val="21"/>
                    </w:rPr>
                    <w:t>板式压滤机</w:t>
                  </w:r>
                </w:p>
              </w:tc>
              <w:tc>
                <w:tcPr>
                  <w:tcW w:w="1142" w:type="pct"/>
                  <w:vAlign w:val="center"/>
                </w:tcPr>
                <w:p>
                  <w:pPr>
                    <w:widowControl/>
                    <w:jc w:val="center"/>
                    <w:rPr>
                      <w:szCs w:val="21"/>
                    </w:rPr>
                  </w:pPr>
                  <w:r>
                    <w:rPr>
                      <w:rFonts w:hint="eastAsia"/>
                      <w:szCs w:val="21"/>
                    </w:rPr>
                    <w:t>BY</w:t>
                  </w:r>
                </w:p>
              </w:tc>
              <w:tc>
                <w:tcPr>
                  <w:tcW w:w="1210" w:type="pct"/>
                  <w:vAlign w:val="center"/>
                </w:tcPr>
                <w:p>
                  <w:pPr>
                    <w:widowControl/>
                    <w:spacing w:line="340" w:lineRule="exac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4" w:type="pct"/>
                  <w:vAlign w:val="center"/>
                </w:tcPr>
                <w:p>
                  <w:pPr>
                    <w:widowControl/>
                    <w:spacing w:line="340" w:lineRule="exact"/>
                    <w:jc w:val="center"/>
                    <w:rPr>
                      <w:szCs w:val="21"/>
                    </w:rPr>
                  </w:pPr>
                  <w:r>
                    <w:rPr>
                      <w:szCs w:val="21"/>
                    </w:rPr>
                    <w:t>9</w:t>
                  </w:r>
                </w:p>
              </w:tc>
              <w:tc>
                <w:tcPr>
                  <w:tcW w:w="2004" w:type="pct"/>
                  <w:vAlign w:val="center"/>
                </w:tcPr>
                <w:p>
                  <w:pPr>
                    <w:widowControl/>
                    <w:jc w:val="center"/>
                    <w:rPr>
                      <w:szCs w:val="21"/>
                    </w:rPr>
                  </w:pPr>
                  <w:r>
                    <w:rPr>
                      <w:szCs w:val="21"/>
                    </w:rPr>
                    <w:t>输送机</w:t>
                  </w:r>
                </w:p>
              </w:tc>
              <w:tc>
                <w:tcPr>
                  <w:tcW w:w="1142" w:type="pct"/>
                  <w:vAlign w:val="center"/>
                </w:tcPr>
                <w:p>
                  <w:pPr>
                    <w:widowControl/>
                    <w:jc w:val="center"/>
                    <w:rPr>
                      <w:szCs w:val="21"/>
                    </w:rPr>
                  </w:pPr>
                  <w:r>
                    <w:rPr>
                      <w:rFonts w:hint="eastAsia"/>
                      <w:szCs w:val="21"/>
                    </w:rPr>
                    <w:t>B</w:t>
                  </w:r>
                </w:p>
              </w:tc>
              <w:tc>
                <w:tcPr>
                  <w:tcW w:w="1210" w:type="pct"/>
                  <w:vAlign w:val="center"/>
                </w:tcPr>
                <w:p>
                  <w:pPr>
                    <w:widowControl/>
                    <w:spacing w:line="340" w:lineRule="exact"/>
                    <w:jc w:val="center"/>
                    <w:rPr>
                      <w:szCs w:val="21"/>
                    </w:rPr>
                  </w:pPr>
                  <w:r>
                    <w:rPr>
                      <w:rFonts w:hint="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4" w:type="pct"/>
                  <w:vAlign w:val="center"/>
                </w:tcPr>
                <w:p>
                  <w:pPr>
                    <w:widowControl/>
                    <w:spacing w:line="340" w:lineRule="exact"/>
                    <w:jc w:val="center"/>
                    <w:rPr>
                      <w:szCs w:val="21"/>
                    </w:rPr>
                  </w:pPr>
                  <w:r>
                    <w:rPr>
                      <w:szCs w:val="21"/>
                    </w:rPr>
                    <w:t>10</w:t>
                  </w:r>
                </w:p>
              </w:tc>
              <w:tc>
                <w:tcPr>
                  <w:tcW w:w="2004" w:type="pct"/>
                  <w:vAlign w:val="center"/>
                </w:tcPr>
                <w:p>
                  <w:pPr>
                    <w:widowControl/>
                    <w:jc w:val="center"/>
                    <w:rPr>
                      <w:szCs w:val="21"/>
                    </w:rPr>
                  </w:pPr>
                  <w:r>
                    <w:rPr>
                      <w:szCs w:val="21"/>
                    </w:rPr>
                    <w:t>输送机</w:t>
                  </w:r>
                </w:p>
              </w:tc>
              <w:tc>
                <w:tcPr>
                  <w:tcW w:w="1142" w:type="pct"/>
                  <w:vAlign w:val="center"/>
                </w:tcPr>
                <w:p>
                  <w:pPr>
                    <w:widowControl/>
                    <w:jc w:val="center"/>
                    <w:rPr>
                      <w:szCs w:val="21"/>
                    </w:rPr>
                  </w:pPr>
                  <w:r>
                    <w:rPr>
                      <w:rFonts w:hint="eastAsia"/>
                      <w:szCs w:val="21"/>
                    </w:rPr>
                    <w:t>B</w:t>
                  </w:r>
                </w:p>
              </w:tc>
              <w:tc>
                <w:tcPr>
                  <w:tcW w:w="1210" w:type="pct"/>
                  <w:vAlign w:val="center"/>
                </w:tcPr>
                <w:p>
                  <w:pPr>
                    <w:widowControl/>
                    <w:spacing w:line="340" w:lineRule="exact"/>
                    <w:jc w:val="center"/>
                    <w:rPr>
                      <w:szCs w:val="21"/>
                    </w:rPr>
                  </w:pPr>
                  <w:r>
                    <w:rPr>
                      <w:rFonts w:hint="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4" w:type="pct"/>
                  <w:vAlign w:val="center"/>
                </w:tcPr>
                <w:p>
                  <w:pPr>
                    <w:widowControl/>
                    <w:spacing w:line="340" w:lineRule="exact"/>
                    <w:jc w:val="center"/>
                    <w:rPr>
                      <w:szCs w:val="21"/>
                    </w:rPr>
                  </w:pPr>
                  <w:r>
                    <w:rPr>
                      <w:szCs w:val="21"/>
                    </w:rPr>
                    <w:t>11</w:t>
                  </w:r>
                </w:p>
              </w:tc>
              <w:tc>
                <w:tcPr>
                  <w:tcW w:w="2004" w:type="pct"/>
                  <w:vAlign w:val="center"/>
                </w:tcPr>
                <w:p>
                  <w:pPr>
                    <w:widowControl/>
                    <w:jc w:val="center"/>
                    <w:rPr>
                      <w:szCs w:val="21"/>
                    </w:rPr>
                  </w:pPr>
                  <w:r>
                    <w:rPr>
                      <w:szCs w:val="21"/>
                    </w:rPr>
                    <w:t>输送机</w:t>
                  </w:r>
                </w:p>
              </w:tc>
              <w:tc>
                <w:tcPr>
                  <w:tcW w:w="1142" w:type="pct"/>
                  <w:vAlign w:val="center"/>
                </w:tcPr>
                <w:p>
                  <w:pPr>
                    <w:widowControl/>
                    <w:jc w:val="center"/>
                    <w:rPr>
                      <w:szCs w:val="21"/>
                    </w:rPr>
                  </w:pPr>
                  <w:r>
                    <w:rPr>
                      <w:rFonts w:hint="eastAsia"/>
                      <w:szCs w:val="21"/>
                    </w:rPr>
                    <w:t>B</w:t>
                  </w:r>
                </w:p>
              </w:tc>
              <w:tc>
                <w:tcPr>
                  <w:tcW w:w="1210" w:type="pct"/>
                  <w:vAlign w:val="center"/>
                </w:tcPr>
                <w:p>
                  <w:pPr>
                    <w:widowControl/>
                    <w:spacing w:line="340" w:lineRule="exact"/>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4" w:type="pct"/>
                  <w:vAlign w:val="center"/>
                </w:tcPr>
                <w:p>
                  <w:pPr>
                    <w:widowControl/>
                    <w:spacing w:line="340" w:lineRule="exact"/>
                    <w:jc w:val="center"/>
                    <w:rPr>
                      <w:szCs w:val="21"/>
                    </w:rPr>
                  </w:pPr>
                  <w:r>
                    <w:rPr>
                      <w:szCs w:val="21"/>
                    </w:rPr>
                    <w:t>12</w:t>
                  </w:r>
                </w:p>
              </w:tc>
              <w:tc>
                <w:tcPr>
                  <w:tcW w:w="2004" w:type="pct"/>
                  <w:vAlign w:val="center"/>
                </w:tcPr>
                <w:p>
                  <w:pPr>
                    <w:widowControl/>
                    <w:jc w:val="center"/>
                    <w:rPr>
                      <w:szCs w:val="21"/>
                    </w:rPr>
                  </w:pPr>
                  <w:r>
                    <w:rPr>
                      <w:szCs w:val="21"/>
                    </w:rPr>
                    <w:t>洗砂机</w:t>
                  </w:r>
                </w:p>
              </w:tc>
              <w:tc>
                <w:tcPr>
                  <w:tcW w:w="1142" w:type="pct"/>
                  <w:vAlign w:val="center"/>
                </w:tcPr>
                <w:p>
                  <w:pPr>
                    <w:widowControl/>
                    <w:jc w:val="center"/>
                    <w:rPr>
                      <w:szCs w:val="21"/>
                    </w:rPr>
                  </w:pPr>
                  <w:r>
                    <w:rPr>
                      <w:rFonts w:hint="eastAsia"/>
                      <w:szCs w:val="21"/>
                    </w:rPr>
                    <w:t>XS</w:t>
                  </w:r>
                </w:p>
              </w:tc>
              <w:tc>
                <w:tcPr>
                  <w:tcW w:w="1210" w:type="pct"/>
                  <w:vAlign w:val="center"/>
                </w:tcPr>
                <w:p>
                  <w:pPr>
                    <w:widowControl/>
                    <w:spacing w:line="340" w:lineRule="exact"/>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4" w:type="pct"/>
                  <w:vAlign w:val="center"/>
                </w:tcPr>
                <w:p>
                  <w:pPr>
                    <w:widowControl/>
                    <w:spacing w:line="340" w:lineRule="exact"/>
                    <w:jc w:val="center"/>
                    <w:rPr>
                      <w:szCs w:val="21"/>
                    </w:rPr>
                  </w:pPr>
                  <w:r>
                    <w:rPr>
                      <w:szCs w:val="21"/>
                    </w:rPr>
                    <w:t>13</w:t>
                  </w:r>
                </w:p>
              </w:tc>
              <w:tc>
                <w:tcPr>
                  <w:tcW w:w="2004" w:type="pct"/>
                  <w:vAlign w:val="center"/>
                </w:tcPr>
                <w:p>
                  <w:pPr>
                    <w:widowControl/>
                    <w:jc w:val="center"/>
                    <w:rPr>
                      <w:szCs w:val="21"/>
                    </w:rPr>
                  </w:pPr>
                  <w:r>
                    <w:rPr>
                      <w:szCs w:val="21"/>
                    </w:rPr>
                    <w:t>污水处理罐</w:t>
                  </w:r>
                </w:p>
              </w:tc>
              <w:tc>
                <w:tcPr>
                  <w:tcW w:w="1142" w:type="pct"/>
                  <w:vAlign w:val="center"/>
                </w:tcPr>
                <w:p>
                  <w:pPr>
                    <w:widowControl/>
                    <w:jc w:val="center"/>
                    <w:rPr>
                      <w:szCs w:val="21"/>
                    </w:rPr>
                  </w:pPr>
                  <w:r>
                    <w:rPr>
                      <w:rFonts w:hint="eastAsia"/>
                      <w:szCs w:val="21"/>
                    </w:rPr>
                    <w:t>T</w:t>
                  </w:r>
                </w:p>
              </w:tc>
              <w:tc>
                <w:tcPr>
                  <w:tcW w:w="1210" w:type="pct"/>
                  <w:vAlign w:val="center"/>
                </w:tcPr>
                <w:p>
                  <w:pPr>
                    <w:widowControl/>
                    <w:spacing w:line="340" w:lineRule="exact"/>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4" w:type="pct"/>
                  <w:vAlign w:val="center"/>
                </w:tcPr>
                <w:p>
                  <w:pPr>
                    <w:widowControl/>
                    <w:spacing w:line="340" w:lineRule="exact"/>
                    <w:jc w:val="center"/>
                    <w:rPr>
                      <w:szCs w:val="21"/>
                    </w:rPr>
                  </w:pPr>
                  <w:r>
                    <w:rPr>
                      <w:szCs w:val="21"/>
                    </w:rPr>
                    <w:t>14</w:t>
                  </w:r>
                </w:p>
              </w:tc>
              <w:tc>
                <w:tcPr>
                  <w:tcW w:w="2004" w:type="pct"/>
                  <w:vAlign w:val="center"/>
                </w:tcPr>
                <w:p>
                  <w:pPr>
                    <w:widowControl/>
                    <w:jc w:val="center"/>
                    <w:rPr>
                      <w:szCs w:val="21"/>
                    </w:rPr>
                  </w:pPr>
                  <w:r>
                    <w:rPr>
                      <w:szCs w:val="21"/>
                    </w:rPr>
                    <w:t>污水处理罐</w:t>
                  </w:r>
                </w:p>
              </w:tc>
              <w:tc>
                <w:tcPr>
                  <w:tcW w:w="1142" w:type="pct"/>
                  <w:vAlign w:val="center"/>
                </w:tcPr>
                <w:p>
                  <w:pPr>
                    <w:widowControl/>
                    <w:jc w:val="center"/>
                    <w:rPr>
                      <w:szCs w:val="21"/>
                    </w:rPr>
                  </w:pPr>
                  <w:r>
                    <w:rPr>
                      <w:rFonts w:hint="eastAsia"/>
                      <w:szCs w:val="21"/>
                    </w:rPr>
                    <w:t>T</w:t>
                  </w:r>
                </w:p>
              </w:tc>
              <w:tc>
                <w:tcPr>
                  <w:tcW w:w="1210" w:type="pct"/>
                  <w:vAlign w:val="center"/>
                </w:tcPr>
                <w:p>
                  <w:pPr>
                    <w:widowControl/>
                    <w:spacing w:line="340" w:lineRule="exact"/>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4" w:type="pct"/>
                  <w:vAlign w:val="center"/>
                </w:tcPr>
                <w:p>
                  <w:pPr>
                    <w:widowControl/>
                    <w:spacing w:line="340" w:lineRule="exact"/>
                    <w:jc w:val="center"/>
                    <w:rPr>
                      <w:szCs w:val="21"/>
                    </w:rPr>
                  </w:pPr>
                  <w:r>
                    <w:rPr>
                      <w:szCs w:val="21"/>
                    </w:rPr>
                    <w:t>15</w:t>
                  </w:r>
                </w:p>
              </w:tc>
              <w:tc>
                <w:tcPr>
                  <w:tcW w:w="2004" w:type="pct"/>
                  <w:vAlign w:val="center"/>
                </w:tcPr>
                <w:p>
                  <w:pPr>
                    <w:widowControl/>
                    <w:jc w:val="center"/>
                    <w:rPr>
                      <w:szCs w:val="21"/>
                    </w:rPr>
                  </w:pPr>
                  <w:r>
                    <w:rPr>
                      <w:szCs w:val="21"/>
                    </w:rPr>
                    <w:t>布袋除尘器</w:t>
                  </w:r>
                </w:p>
              </w:tc>
              <w:tc>
                <w:tcPr>
                  <w:tcW w:w="1142" w:type="pct"/>
                  <w:vAlign w:val="center"/>
                </w:tcPr>
                <w:p>
                  <w:pPr>
                    <w:widowControl/>
                    <w:jc w:val="center"/>
                    <w:rPr>
                      <w:szCs w:val="21"/>
                    </w:rPr>
                  </w:pPr>
                  <w:r>
                    <w:rPr>
                      <w:szCs w:val="21"/>
                    </w:rPr>
                    <w:t>/</w:t>
                  </w:r>
                </w:p>
              </w:tc>
              <w:tc>
                <w:tcPr>
                  <w:tcW w:w="1210" w:type="pct"/>
                  <w:vAlign w:val="center"/>
                </w:tcPr>
                <w:p>
                  <w:pPr>
                    <w:widowControl/>
                    <w:spacing w:line="340" w:lineRule="exact"/>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4" w:type="pct"/>
                  <w:vAlign w:val="center"/>
                </w:tcPr>
                <w:p>
                  <w:pPr>
                    <w:widowControl/>
                    <w:spacing w:line="340" w:lineRule="exact"/>
                    <w:jc w:val="center"/>
                    <w:rPr>
                      <w:szCs w:val="21"/>
                    </w:rPr>
                  </w:pPr>
                  <w:r>
                    <w:rPr>
                      <w:szCs w:val="21"/>
                    </w:rPr>
                    <w:t>16</w:t>
                  </w:r>
                </w:p>
              </w:tc>
              <w:tc>
                <w:tcPr>
                  <w:tcW w:w="2004" w:type="pct"/>
                  <w:vAlign w:val="center"/>
                </w:tcPr>
                <w:p>
                  <w:pPr>
                    <w:widowControl/>
                    <w:jc w:val="center"/>
                    <w:rPr>
                      <w:szCs w:val="21"/>
                    </w:rPr>
                  </w:pPr>
                  <w:r>
                    <w:rPr>
                      <w:szCs w:val="21"/>
                    </w:rPr>
                    <w:t>洗车平台</w:t>
                  </w:r>
                </w:p>
              </w:tc>
              <w:tc>
                <w:tcPr>
                  <w:tcW w:w="1142" w:type="pct"/>
                  <w:vAlign w:val="center"/>
                </w:tcPr>
                <w:p>
                  <w:pPr>
                    <w:widowControl/>
                    <w:jc w:val="center"/>
                    <w:rPr>
                      <w:szCs w:val="21"/>
                    </w:rPr>
                  </w:pPr>
                  <w:r>
                    <w:rPr>
                      <w:szCs w:val="21"/>
                    </w:rPr>
                    <w:t>/</w:t>
                  </w:r>
                </w:p>
              </w:tc>
              <w:tc>
                <w:tcPr>
                  <w:tcW w:w="1210" w:type="pct"/>
                  <w:vAlign w:val="center"/>
                </w:tcPr>
                <w:p>
                  <w:pPr>
                    <w:widowControl/>
                    <w:spacing w:line="340" w:lineRule="exact"/>
                    <w:jc w:val="center"/>
                    <w:rPr>
                      <w:szCs w:val="21"/>
                    </w:rPr>
                  </w:pPr>
                  <w:r>
                    <w:rPr>
                      <w:szCs w:val="21"/>
                    </w:rPr>
                    <w:t xml:space="preserve">1 </w:t>
                  </w:r>
                </w:p>
              </w:tc>
            </w:tr>
          </w:tbl>
          <w:p>
            <w:pPr>
              <w:spacing w:line="360" w:lineRule="auto"/>
              <w:rPr>
                <w:b/>
                <w:sz w:val="24"/>
              </w:rPr>
            </w:pPr>
            <w:r>
              <w:rPr>
                <w:b/>
                <w:sz w:val="24"/>
              </w:rPr>
              <w:t>2.6公用工程</w:t>
            </w:r>
          </w:p>
          <w:p>
            <w:pPr>
              <w:pStyle w:val="76"/>
              <w:rPr>
                <w:snapToGrid w:val="0"/>
                <w:sz w:val="24"/>
              </w:rPr>
            </w:pPr>
            <w:r>
              <w:rPr>
                <w:snapToGrid w:val="0"/>
                <w:sz w:val="24"/>
              </w:rPr>
              <w:t>（1）给水</w:t>
            </w:r>
          </w:p>
          <w:p>
            <w:pPr>
              <w:spacing w:line="360" w:lineRule="auto"/>
              <w:ind w:firstLine="480" w:firstLineChars="200"/>
              <w:rPr>
                <w:snapToGrid w:val="0"/>
                <w:sz w:val="24"/>
              </w:rPr>
            </w:pPr>
            <w:r>
              <w:rPr>
                <w:snapToGrid w:val="0"/>
                <w:sz w:val="24"/>
              </w:rPr>
              <w:t>给水</w:t>
            </w:r>
            <w:r>
              <w:rPr>
                <w:rFonts w:hint="eastAsia"/>
                <w:snapToGrid w:val="0"/>
                <w:sz w:val="24"/>
              </w:rPr>
              <w:t>由歇驾寺村自来水</w:t>
            </w:r>
            <w:r>
              <w:rPr>
                <w:snapToGrid w:val="0"/>
                <w:sz w:val="24"/>
              </w:rPr>
              <w:t>提供。</w:t>
            </w:r>
          </w:p>
          <w:p>
            <w:pPr>
              <w:spacing w:line="360" w:lineRule="auto"/>
              <w:ind w:firstLine="480" w:firstLineChars="200"/>
              <w:rPr>
                <w:snapToGrid w:val="0"/>
                <w:sz w:val="24"/>
              </w:rPr>
            </w:pPr>
            <w:r>
              <w:rPr>
                <w:rFonts w:hint="eastAsia" w:ascii="宋体" w:hAnsi="宋体" w:cs="宋体"/>
                <w:snapToGrid w:val="0"/>
                <w:sz w:val="24"/>
              </w:rPr>
              <w:t>①</w:t>
            </w:r>
            <w:r>
              <w:rPr>
                <w:snapToGrid w:val="0"/>
                <w:sz w:val="24"/>
              </w:rPr>
              <w:t>生活用水</w:t>
            </w:r>
          </w:p>
          <w:p>
            <w:pPr>
              <w:spacing w:line="360" w:lineRule="auto"/>
              <w:ind w:firstLine="480" w:firstLineChars="200"/>
              <w:rPr>
                <w:sz w:val="24"/>
                <w:highlight w:val="cyan"/>
              </w:rPr>
            </w:pPr>
            <w:r>
              <w:rPr>
                <w:snapToGrid w:val="0"/>
                <w:sz w:val="24"/>
              </w:rPr>
              <w:t>本项目劳动定员6人，年生产180天。</w:t>
            </w:r>
            <w:r>
              <w:rPr>
                <w:rFonts w:hint="eastAsia"/>
                <w:snapToGrid w:val="0"/>
                <w:sz w:val="24"/>
              </w:rPr>
              <w:t>参照《陕西省行业用水定额》（DB61/T943-2020）中数值</w:t>
            </w:r>
            <w:r>
              <w:rPr>
                <w:snapToGrid w:val="0"/>
                <w:sz w:val="24"/>
              </w:rPr>
              <w:t>，</w:t>
            </w:r>
            <w:r>
              <w:rPr>
                <w:rFonts w:hint="eastAsia"/>
                <w:snapToGrid w:val="0"/>
                <w:sz w:val="24"/>
              </w:rPr>
              <w:t>生活用水按</w:t>
            </w:r>
            <w:r>
              <w:rPr>
                <w:snapToGrid w:val="0"/>
                <w:sz w:val="24"/>
              </w:rPr>
              <w:t>30</w:t>
            </w:r>
            <w:r>
              <w:rPr>
                <w:rFonts w:hint="eastAsia"/>
                <w:snapToGrid w:val="0"/>
                <w:sz w:val="24"/>
              </w:rPr>
              <w:t>L/人·d计，则生活用水量为</w:t>
            </w:r>
            <w:r>
              <w:rPr>
                <w:snapToGrid w:val="0"/>
                <w:sz w:val="24"/>
              </w:rPr>
              <w:t>1.8</w:t>
            </w:r>
            <w:r>
              <w:rPr>
                <w:rFonts w:hint="eastAsia"/>
                <w:snapToGrid w:val="0"/>
                <w:sz w:val="24"/>
              </w:rPr>
              <w:t>m</w:t>
            </w:r>
            <w:r>
              <w:rPr>
                <w:rFonts w:hint="eastAsia"/>
                <w:snapToGrid w:val="0"/>
                <w:sz w:val="24"/>
                <w:vertAlign w:val="superscript"/>
              </w:rPr>
              <w:t>3</w:t>
            </w:r>
            <w:r>
              <w:rPr>
                <w:rFonts w:hint="eastAsia"/>
                <w:snapToGrid w:val="0"/>
                <w:sz w:val="24"/>
              </w:rPr>
              <w:t>/d，年用水量为</w:t>
            </w:r>
            <w:r>
              <w:rPr>
                <w:snapToGrid w:val="0"/>
                <w:sz w:val="24"/>
              </w:rPr>
              <w:t>324</w:t>
            </w:r>
            <w:r>
              <w:rPr>
                <w:rFonts w:hint="eastAsia"/>
                <w:snapToGrid w:val="0"/>
                <w:sz w:val="24"/>
              </w:rPr>
              <w:t>m</w:t>
            </w:r>
            <w:r>
              <w:rPr>
                <w:rFonts w:hint="eastAsia"/>
                <w:snapToGrid w:val="0"/>
                <w:sz w:val="24"/>
                <w:vertAlign w:val="superscript"/>
              </w:rPr>
              <w:t>3</w:t>
            </w:r>
            <w:r>
              <w:rPr>
                <w:rFonts w:hint="eastAsia"/>
                <w:snapToGrid w:val="0"/>
                <w:sz w:val="24"/>
              </w:rPr>
              <w:t>/a。</w:t>
            </w:r>
          </w:p>
          <w:p>
            <w:pPr>
              <w:spacing w:line="360" w:lineRule="auto"/>
              <w:ind w:firstLine="480" w:firstLineChars="200"/>
              <w:rPr>
                <w:sz w:val="24"/>
              </w:rPr>
            </w:pPr>
            <w:r>
              <w:rPr>
                <w:rFonts w:hint="eastAsia" w:ascii="宋体" w:hAnsi="宋体" w:cs="宋体"/>
                <w:snapToGrid w:val="0"/>
                <w:sz w:val="24"/>
              </w:rPr>
              <w:t>②</w:t>
            </w:r>
            <w:r>
              <w:rPr>
                <w:snapToGrid w:val="0"/>
                <w:sz w:val="24"/>
              </w:rPr>
              <w:t>洗砂</w:t>
            </w:r>
            <w:r>
              <w:rPr>
                <w:sz w:val="24"/>
              </w:rPr>
              <w:t>用水补水</w:t>
            </w:r>
          </w:p>
          <w:p>
            <w:pPr>
              <w:spacing w:line="360" w:lineRule="auto"/>
              <w:ind w:firstLine="480" w:firstLineChars="200"/>
              <w:rPr>
                <w:sz w:val="24"/>
              </w:rPr>
            </w:pPr>
            <w:r>
              <w:rPr>
                <w:sz w:val="24"/>
              </w:rPr>
              <w:t>根据实际运行情况统计，洗砂后成品砂含水率约为10%</w:t>
            </w:r>
            <w:r>
              <w:rPr>
                <w:rFonts w:hint="eastAsia"/>
                <w:sz w:val="24"/>
              </w:rPr>
              <w:t>，成品砂产量</w:t>
            </w:r>
            <w:r>
              <w:rPr>
                <w:sz w:val="24"/>
              </w:rPr>
              <w:t>为18万t/a（1000t/d），被成品砂带走水量为18000m</w:t>
            </w:r>
            <w:r>
              <w:rPr>
                <w:sz w:val="24"/>
                <w:vertAlign w:val="superscript"/>
              </w:rPr>
              <w:t>3</w:t>
            </w:r>
            <w:r>
              <w:rPr>
                <w:sz w:val="24"/>
              </w:rPr>
              <w:t>/a（折合为100m</w:t>
            </w:r>
            <w:r>
              <w:rPr>
                <w:sz w:val="24"/>
                <w:vertAlign w:val="superscript"/>
              </w:rPr>
              <w:t>3</w:t>
            </w:r>
            <w:r>
              <w:rPr>
                <w:sz w:val="24"/>
              </w:rPr>
              <w:t>/d）。经过压滤处理的泥饼（含水率70%）产生量为500t/a（即为2.78t/d），则被泥饼带走的水量350m</w:t>
            </w:r>
            <w:r>
              <w:rPr>
                <w:sz w:val="24"/>
                <w:vertAlign w:val="superscript"/>
              </w:rPr>
              <w:t>3</w:t>
            </w:r>
            <w:r>
              <w:rPr>
                <w:sz w:val="24"/>
              </w:rPr>
              <w:t>/a（即为1.84m</w:t>
            </w:r>
            <w:r>
              <w:rPr>
                <w:sz w:val="24"/>
                <w:vertAlign w:val="superscript"/>
              </w:rPr>
              <w:t>3</w:t>
            </w:r>
            <w:r>
              <w:rPr>
                <w:sz w:val="24"/>
              </w:rPr>
              <w:t xml:space="preserve">/d），废水处理后的上清液回用于洗砂。 </w:t>
            </w:r>
            <w:r>
              <w:rPr>
                <w:rFonts w:hint="eastAsia"/>
                <w:sz w:val="24"/>
              </w:rPr>
              <w:t>综上所述，洗砂用水补水量为1</w:t>
            </w:r>
            <w:r>
              <w:rPr>
                <w:sz w:val="24"/>
              </w:rPr>
              <w:t>01.84 m</w:t>
            </w:r>
            <w:r>
              <w:rPr>
                <w:sz w:val="24"/>
                <w:vertAlign w:val="superscript"/>
              </w:rPr>
              <w:t>3</w:t>
            </w:r>
            <w:r>
              <w:rPr>
                <w:sz w:val="24"/>
              </w:rPr>
              <w:t>/d</w:t>
            </w:r>
            <w:r>
              <w:rPr>
                <w:rFonts w:hint="eastAsia"/>
                <w:sz w:val="24"/>
              </w:rPr>
              <w:t>（1</w:t>
            </w:r>
            <w:r>
              <w:rPr>
                <w:sz w:val="24"/>
              </w:rPr>
              <w:t>8350 m</w:t>
            </w:r>
            <w:r>
              <w:rPr>
                <w:sz w:val="24"/>
                <w:vertAlign w:val="superscript"/>
              </w:rPr>
              <w:t>3</w:t>
            </w:r>
            <w:r>
              <w:rPr>
                <w:sz w:val="24"/>
              </w:rPr>
              <w:t>/a</w:t>
            </w:r>
            <w:r>
              <w:rPr>
                <w:rFonts w:hint="eastAsia"/>
                <w:sz w:val="24"/>
              </w:rPr>
              <w:t>）。</w:t>
            </w:r>
          </w:p>
          <w:p>
            <w:pPr>
              <w:spacing w:line="360" w:lineRule="auto"/>
              <w:ind w:firstLine="480" w:firstLineChars="200"/>
              <w:rPr>
                <w:sz w:val="24"/>
              </w:rPr>
            </w:pPr>
            <w:r>
              <w:rPr>
                <w:rFonts w:hint="eastAsia" w:ascii="宋体" w:hAnsi="宋体" w:cs="宋体"/>
                <w:sz w:val="24"/>
              </w:rPr>
              <w:t>③</w:t>
            </w:r>
            <w:r>
              <w:rPr>
                <w:sz w:val="24"/>
              </w:rPr>
              <w:t>喷淋降尘用水</w:t>
            </w:r>
          </w:p>
          <w:p>
            <w:pPr>
              <w:spacing w:line="360" w:lineRule="auto"/>
              <w:ind w:firstLine="480" w:firstLineChars="200"/>
              <w:rPr>
                <w:sz w:val="24"/>
              </w:rPr>
            </w:pPr>
            <w:r>
              <w:rPr>
                <w:sz w:val="24"/>
              </w:rPr>
              <w:t>本项目原料堆存、装卸、生产、成品堆放均在封闭式生产车间内进行，为了降低车间内原料堆存、装卸扬尘、产品堆存、装卸扬尘，设计采取在封闭式生产车间内安装喷淋降尘装置，使整个车间全覆盖。</w:t>
            </w:r>
            <w:r>
              <w:rPr>
                <w:rFonts w:hint="eastAsia"/>
                <w:sz w:val="24"/>
              </w:rPr>
              <w:t>预计</w:t>
            </w:r>
            <w:r>
              <w:rPr>
                <w:sz w:val="24"/>
              </w:rPr>
              <w:t>场地抑尘洒水量为4m</w:t>
            </w:r>
            <w:r>
              <w:rPr>
                <w:sz w:val="24"/>
                <w:vertAlign w:val="superscript"/>
              </w:rPr>
              <w:t>3</w:t>
            </w:r>
            <w:r>
              <w:rPr>
                <w:sz w:val="24"/>
              </w:rPr>
              <w:t>/d（720m</w:t>
            </w:r>
            <w:r>
              <w:rPr>
                <w:sz w:val="24"/>
                <w:vertAlign w:val="superscript"/>
              </w:rPr>
              <w:t>3</w:t>
            </w:r>
            <w:r>
              <w:rPr>
                <w:sz w:val="24"/>
              </w:rPr>
              <w:t>/a）。</w:t>
            </w:r>
          </w:p>
          <w:p>
            <w:pPr>
              <w:spacing w:line="360" w:lineRule="auto"/>
              <w:ind w:firstLine="480" w:firstLineChars="200"/>
              <w:rPr>
                <w:sz w:val="24"/>
              </w:rPr>
            </w:pPr>
            <w:r>
              <w:rPr>
                <w:rFonts w:hint="eastAsia" w:ascii="宋体" w:hAnsi="宋体" w:cs="宋体"/>
                <w:sz w:val="24"/>
              </w:rPr>
              <w:t>④</w:t>
            </w:r>
            <w:r>
              <w:rPr>
                <w:sz w:val="24"/>
              </w:rPr>
              <w:t>道路洒水</w:t>
            </w:r>
          </w:p>
          <w:p>
            <w:pPr>
              <w:autoSpaceDE w:val="0"/>
              <w:autoSpaceDN w:val="0"/>
              <w:adjustRightInd w:val="0"/>
              <w:spacing w:line="360" w:lineRule="auto"/>
              <w:ind w:firstLine="480" w:firstLineChars="200"/>
              <w:rPr>
                <w:sz w:val="24"/>
                <w:lang w:val="zh-CN"/>
              </w:rPr>
            </w:pPr>
            <w:r>
              <w:rPr>
                <w:sz w:val="24"/>
              </w:rPr>
              <w:t>本项目</w:t>
            </w:r>
            <w:r>
              <w:rPr>
                <w:rFonts w:hint="eastAsia"/>
                <w:sz w:val="24"/>
              </w:rPr>
              <w:t>预计</w:t>
            </w:r>
            <w:r>
              <w:rPr>
                <w:sz w:val="24"/>
              </w:rPr>
              <w:t>道路洒水量约为2m</w:t>
            </w:r>
            <w:r>
              <w:rPr>
                <w:sz w:val="24"/>
                <w:vertAlign w:val="superscript"/>
              </w:rPr>
              <w:t>3</w:t>
            </w:r>
            <w:r>
              <w:rPr>
                <w:sz w:val="24"/>
              </w:rPr>
              <w:t>/d（360m</w:t>
            </w:r>
            <w:r>
              <w:rPr>
                <w:sz w:val="24"/>
                <w:vertAlign w:val="superscript"/>
              </w:rPr>
              <w:t>3</w:t>
            </w:r>
            <w:r>
              <w:rPr>
                <w:sz w:val="24"/>
              </w:rPr>
              <w:t>/a）。</w:t>
            </w:r>
          </w:p>
          <w:p>
            <w:pPr>
              <w:autoSpaceDE w:val="0"/>
              <w:autoSpaceDN w:val="0"/>
              <w:adjustRightInd w:val="0"/>
              <w:spacing w:line="360" w:lineRule="auto"/>
              <w:ind w:firstLine="480" w:firstLineChars="200"/>
              <w:rPr>
                <w:bCs/>
                <w:sz w:val="24"/>
              </w:rPr>
            </w:pPr>
            <w:r>
              <w:rPr>
                <w:rFonts w:hint="eastAsia" w:ascii="宋体" w:hAnsi="宋体" w:cs="宋体"/>
                <w:bCs/>
                <w:sz w:val="24"/>
              </w:rPr>
              <w:t>⑤</w:t>
            </w:r>
            <w:r>
              <w:rPr>
                <w:bCs/>
                <w:sz w:val="24"/>
              </w:rPr>
              <w:t>车辆冲洗水</w:t>
            </w:r>
          </w:p>
          <w:p>
            <w:pPr>
              <w:adjustRightInd w:val="0"/>
              <w:spacing w:line="360" w:lineRule="auto"/>
              <w:ind w:firstLine="480" w:firstLineChars="200"/>
              <w:rPr>
                <w:sz w:val="24"/>
              </w:rPr>
            </w:pPr>
            <w:r>
              <w:rPr>
                <w:sz w:val="24"/>
              </w:rPr>
              <w:t>项目车辆主要用于原料及产品的运输，本项目运输车辆设置有洗车平台，进出厂区时需要对车辆冲洗，</w:t>
            </w:r>
            <w:r>
              <w:rPr>
                <w:rFonts w:hint="eastAsia"/>
                <w:sz w:val="24"/>
              </w:rPr>
              <w:t>废水</w:t>
            </w:r>
            <w:r>
              <w:rPr>
                <w:sz w:val="24"/>
              </w:rPr>
              <w:t>经沉淀池沉淀后全部循环使用，定期补充</w:t>
            </w:r>
            <w:r>
              <w:rPr>
                <w:rFonts w:hint="eastAsia"/>
                <w:sz w:val="24"/>
              </w:rPr>
              <w:t>，</w:t>
            </w:r>
            <w:r>
              <w:rPr>
                <w:bCs/>
                <w:sz w:val="24"/>
              </w:rPr>
              <w:t>运营期车辆清洗用水</w:t>
            </w:r>
            <w:r>
              <w:rPr>
                <w:rFonts w:hint="eastAsia"/>
                <w:bCs/>
                <w:sz w:val="24"/>
              </w:rPr>
              <w:t>补水</w:t>
            </w:r>
            <w:r>
              <w:rPr>
                <w:bCs/>
                <w:sz w:val="24"/>
              </w:rPr>
              <w:t>量为1m</w:t>
            </w:r>
            <w:r>
              <w:rPr>
                <w:bCs/>
                <w:sz w:val="24"/>
                <w:vertAlign w:val="superscript"/>
              </w:rPr>
              <w:t>3</w:t>
            </w:r>
            <w:r>
              <w:rPr>
                <w:bCs/>
                <w:sz w:val="24"/>
              </w:rPr>
              <w:t>/d</w:t>
            </w:r>
            <w:r>
              <w:rPr>
                <w:sz w:val="24"/>
              </w:rPr>
              <w:t>（180m</w:t>
            </w:r>
            <w:r>
              <w:rPr>
                <w:sz w:val="24"/>
                <w:vertAlign w:val="superscript"/>
              </w:rPr>
              <w:t>3</w:t>
            </w:r>
            <w:r>
              <w:rPr>
                <w:sz w:val="24"/>
              </w:rPr>
              <w:t>/a）</w:t>
            </w:r>
            <w:r>
              <w:rPr>
                <w:rFonts w:hint="eastAsia"/>
                <w:bCs/>
                <w:sz w:val="24"/>
              </w:rPr>
              <w:t>。</w:t>
            </w:r>
          </w:p>
          <w:p>
            <w:pPr>
              <w:autoSpaceDE w:val="0"/>
              <w:autoSpaceDN w:val="0"/>
              <w:adjustRightInd w:val="0"/>
              <w:spacing w:line="360" w:lineRule="auto"/>
              <w:ind w:firstLine="480" w:firstLineChars="200"/>
              <w:rPr>
                <w:sz w:val="24"/>
              </w:rPr>
            </w:pPr>
            <w:r>
              <w:rPr>
                <w:sz w:val="24"/>
                <w:lang w:val="zh-CN"/>
              </w:rPr>
              <w:t>（</w:t>
            </w:r>
            <w:r>
              <w:rPr>
                <w:sz w:val="24"/>
              </w:rPr>
              <w:t>2）排水</w:t>
            </w:r>
          </w:p>
          <w:p>
            <w:pPr>
              <w:autoSpaceDE w:val="0"/>
              <w:autoSpaceDN w:val="0"/>
              <w:adjustRightInd w:val="0"/>
              <w:spacing w:line="360" w:lineRule="auto"/>
              <w:ind w:firstLine="480" w:firstLineChars="200"/>
              <w:rPr>
                <w:sz w:val="24"/>
                <w:lang w:val="zh-CN"/>
              </w:rPr>
            </w:pPr>
            <w:r>
              <w:rPr>
                <w:sz w:val="24"/>
                <w:lang w:val="zh-CN"/>
              </w:rPr>
              <w:t>生活污水产生量较小，</w:t>
            </w:r>
            <w:r>
              <w:rPr>
                <w:sz w:val="24"/>
              </w:rPr>
              <w:t>经</w:t>
            </w:r>
            <w:r>
              <w:rPr>
                <w:rFonts w:hint="eastAsia"/>
                <w:sz w:val="24"/>
                <w:lang w:val="zh-CN"/>
              </w:rPr>
              <w:t>防渗旱厕收集</w:t>
            </w:r>
            <w:r>
              <w:rPr>
                <w:bCs/>
                <w:sz w:val="24"/>
                <w:lang w:val="zh-CN"/>
              </w:rPr>
              <w:t>后定期清掏用作农肥；本项目采取</w:t>
            </w:r>
            <w:r>
              <w:rPr>
                <w:bCs/>
                <w:sz w:val="24"/>
              </w:rPr>
              <w:t>湿式</w:t>
            </w:r>
            <w:r>
              <w:rPr>
                <w:bCs/>
                <w:sz w:val="24"/>
                <w:lang w:val="zh-CN"/>
              </w:rPr>
              <w:t>作业，</w:t>
            </w:r>
            <w:r>
              <w:rPr>
                <w:bCs/>
                <w:sz w:val="24"/>
              </w:rPr>
              <w:t>道路洒水、喷淋用水、车间</w:t>
            </w:r>
            <w:r>
              <w:rPr>
                <w:bCs/>
                <w:sz w:val="24"/>
                <w:lang w:val="zh-CN"/>
              </w:rPr>
              <w:t>降尘用水直接蒸发损耗，</w:t>
            </w:r>
            <w:r>
              <w:rPr>
                <w:bCs/>
                <w:sz w:val="24"/>
              </w:rPr>
              <w:t>洗砂废水</w:t>
            </w:r>
            <w:r>
              <w:rPr>
                <w:bCs/>
                <w:sz w:val="24"/>
                <w:lang w:val="zh-CN"/>
              </w:rPr>
              <w:t>经</w:t>
            </w:r>
            <w:r>
              <w:rPr>
                <w:bCs/>
                <w:sz w:val="24"/>
              </w:rPr>
              <w:t>污水处理设施</w:t>
            </w:r>
            <w:r>
              <w:rPr>
                <w:bCs/>
                <w:sz w:val="24"/>
                <w:lang w:val="zh-CN"/>
              </w:rPr>
              <w:t>处理后，上清液流入</w:t>
            </w:r>
            <w:r>
              <w:rPr>
                <w:bCs/>
                <w:sz w:val="24"/>
              </w:rPr>
              <w:t>清</w:t>
            </w:r>
            <w:r>
              <w:rPr>
                <w:bCs/>
                <w:sz w:val="24"/>
                <w:lang w:val="zh-CN"/>
              </w:rPr>
              <w:t>水池，</w:t>
            </w:r>
            <w:r>
              <w:rPr>
                <w:bCs/>
                <w:sz w:val="24"/>
              </w:rPr>
              <w:t>回</w:t>
            </w:r>
            <w:r>
              <w:rPr>
                <w:bCs/>
                <w:sz w:val="24"/>
                <w:lang w:val="zh-CN"/>
              </w:rPr>
              <w:t>用于生产不外排；</w:t>
            </w:r>
            <w:r>
              <w:rPr>
                <w:bCs/>
                <w:sz w:val="24"/>
              </w:rPr>
              <w:t>洗车废水经沉淀池</w:t>
            </w:r>
            <w:r>
              <w:rPr>
                <w:sz w:val="24"/>
              </w:rPr>
              <w:t>沉淀后回用，不外排</w:t>
            </w:r>
            <w:r>
              <w:rPr>
                <w:sz w:val="24"/>
                <w:lang w:val="zh-CN"/>
              </w:rPr>
              <w:t>。</w:t>
            </w:r>
          </w:p>
          <w:p>
            <w:pPr>
              <w:spacing w:line="360" w:lineRule="auto"/>
              <w:ind w:firstLine="480" w:firstLineChars="200"/>
              <w:rPr>
                <w:sz w:val="24"/>
              </w:rPr>
            </w:pPr>
            <w:r>
              <w:rPr>
                <w:sz w:val="24"/>
              </w:rPr>
              <w:t>（3）供电</w:t>
            </w:r>
          </w:p>
          <w:p>
            <w:pPr>
              <w:spacing w:line="360" w:lineRule="auto"/>
              <w:ind w:firstLine="480" w:firstLineChars="200"/>
              <w:rPr>
                <w:sz w:val="24"/>
              </w:rPr>
            </w:pPr>
            <w:r>
              <w:rPr>
                <w:sz w:val="24"/>
              </w:rPr>
              <w:t>本项目</w:t>
            </w:r>
            <w:r>
              <w:rPr>
                <w:rFonts w:hint="eastAsia"/>
                <w:sz w:val="24"/>
              </w:rPr>
              <w:t>用电</w:t>
            </w:r>
            <w:r>
              <w:rPr>
                <w:sz w:val="24"/>
              </w:rPr>
              <w:t>由</w:t>
            </w:r>
            <w:r>
              <w:rPr>
                <w:kern w:val="0"/>
                <w:sz w:val="24"/>
              </w:rPr>
              <w:t>当地供电系统供应，</w:t>
            </w:r>
            <w:r>
              <w:rPr>
                <w:sz w:val="24"/>
              </w:rPr>
              <w:t>可满足项目用电需要。</w:t>
            </w:r>
          </w:p>
          <w:p>
            <w:pPr>
              <w:spacing w:line="360" w:lineRule="auto"/>
              <w:ind w:firstLine="480" w:firstLineChars="200"/>
              <w:rPr>
                <w:sz w:val="24"/>
              </w:rPr>
            </w:pPr>
            <w:r>
              <w:rPr>
                <w:sz w:val="24"/>
              </w:rPr>
              <w:t>（4）供暖、制冷</w:t>
            </w:r>
          </w:p>
          <w:p>
            <w:pPr>
              <w:spacing w:line="360" w:lineRule="auto"/>
              <w:ind w:firstLine="480" w:firstLineChars="200"/>
              <w:rPr>
                <w:kern w:val="0"/>
                <w:sz w:val="24"/>
              </w:rPr>
            </w:pPr>
            <w:r>
              <w:rPr>
                <w:sz w:val="24"/>
              </w:rPr>
              <w:t>办公生活区供暖、制冷采用分体式空调，</w:t>
            </w:r>
            <w:r>
              <w:rPr>
                <w:kern w:val="0"/>
                <w:sz w:val="24"/>
              </w:rPr>
              <w:t>生产区不供暖制冷。</w:t>
            </w:r>
          </w:p>
          <w:p>
            <w:pPr>
              <w:spacing w:line="360" w:lineRule="auto"/>
              <w:ind w:firstLine="482" w:firstLineChars="200"/>
              <w:rPr>
                <w:b/>
                <w:bCs/>
                <w:sz w:val="24"/>
              </w:rPr>
            </w:pPr>
            <w:r>
              <w:rPr>
                <w:b/>
                <w:bCs/>
                <w:sz w:val="24"/>
              </w:rPr>
              <w:t>2.7劳动定员和工作制度</w:t>
            </w:r>
          </w:p>
          <w:p>
            <w:pPr>
              <w:spacing w:line="360" w:lineRule="auto"/>
              <w:ind w:firstLine="480" w:firstLineChars="200"/>
              <w:rPr>
                <w:sz w:val="24"/>
              </w:rPr>
            </w:pPr>
            <w:r>
              <w:rPr>
                <w:snapToGrid w:val="0"/>
                <w:sz w:val="24"/>
              </w:rPr>
              <w:t>本项目劳动定员6人，实行</w:t>
            </w:r>
            <w:r>
              <w:rPr>
                <w:rFonts w:hint="eastAsia"/>
                <w:snapToGrid w:val="0"/>
                <w:sz w:val="24"/>
              </w:rPr>
              <w:t>2</w:t>
            </w:r>
            <w:r>
              <w:rPr>
                <w:snapToGrid w:val="0"/>
                <w:sz w:val="24"/>
              </w:rPr>
              <w:t>班工作制度，每班工作时间8小时，年工作180天。厂内不提供食宿</w:t>
            </w:r>
            <w:r>
              <w:rPr>
                <w:sz w:val="24"/>
              </w:rPr>
              <w:t>。</w:t>
            </w:r>
          </w:p>
          <w:p>
            <w:pPr>
              <w:spacing w:line="360" w:lineRule="auto"/>
              <w:ind w:firstLine="482" w:firstLineChars="200"/>
              <w:rPr>
                <w:b/>
                <w:bCs/>
                <w:sz w:val="24"/>
              </w:rPr>
            </w:pPr>
            <w:r>
              <w:rPr>
                <w:b/>
                <w:bCs/>
                <w:sz w:val="24"/>
              </w:rPr>
              <w:t>2.8平面布置合理性分析</w:t>
            </w:r>
          </w:p>
          <w:p>
            <w:pPr>
              <w:spacing w:line="360" w:lineRule="auto"/>
              <w:ind w:firstLine="480" w:firstLineChars="200"/>
              <w:rPr>
                <w:sz w:val="24"/>
              </w:rPr>
            </w:pPr>
            <w:r>
              <w:rPr>
                <w:sz w:val="24"/>
              </w:rPr>
              <w:t>本项目厂区平面布置简单。厂区</w:t>
            </w:r>
            <w:r>
              <w:rPr>
                <w:rFonts w:hint="eastAsia"/>
                <w:sz w:val="24"/>
              </w:rPr>
              <w:t>北</w:t>
            </w:r>
            <w:r>
              <w:rPr>
                <w:sz w:val="24"/>
              </w:rPr>
              <w:t>侧为厂区大门；厂区西侧为生产车间，生产车间中间设生产线，车间</w:t>
            </w:r>
            <w:r>
              <w:rPr>
                <w:rFonts w:hint="eastAsia"/>
                <w:sz w:val="24"/>
              </w:rPr>
              <w:t>北</w:t>
            </w:r>
            <w:r>
              <w:rPr>
                <w:sz w:val="24"/>
              </w:rPr>
              <w:t>侧为成品放置区，车间</w:t>
            </w:r>
            <w:r>
              <w:rPr>
                <w:rFonts w:hint="eastAsia"/>
                <w:sz w:val="24"/>
              </w:rPr>
              <w:t>南</w:t>
            </w:r>
            <w:r>
              <w:rPr>
                <w:sz w:val="24"/>
              </w:rPr>
              <w:t>侧为原材料放置区，车间内部设置合理通道。厂区东</w:t>
            </w:r>
            <w:r>
              <w:rPr>
                <w:rFonts w:hint="eastAsia"/>
                <w:sz w:val="24"/>
              </w:rPr>
              <w:t>北</w:t>
            </w:r>
            <w:r>
              <w:rPr>
                <w:sz w:val="24"/>
              </w:rPr>
              <w:t>侧主要为办公生活区。综上所述，项目能合理利用现有厂地，功能分区清晰，布局合理，基本满足生产工艺要求。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851" w:type="dxa"/>
            <w:vAlign w:val="center"/>
          </w:tcPr>
          <w:p>
            <w:pPr>
              <w:pStyle w:val="21"/>
              <w:adjustRightInd w:val="0"/>
              <w:snapToGrid w:val="0"/>
              <w:spacing w:before="0" w:beforeAutospacing="0" w:after="0" w:afterAutospacing="0"/>
              <w:jc w:val="center"/>
              <w:rPr>
                <w:rFonts w:ascii="Times New Roman" w:hAnsi="Times New Roman"/>
                <w:szCs w:val="24"/>
                <w:highlight w:val="cyan"/>
              </w:rPr>
            </w:pPr>
            <w:r>
              <w:rPr>
                <w:rFonts w:ascii="Times New Roman" w:hAnsi="Times New Roman"/>
                <w:szCs w:val="24"/>
              </w:rPr>
              <w:t>工艺流程和产排污环节</w:t>
            </w:r>
          </w:p>
        </w:tc>
        <w:tc>
          <w:tcPr>
            <w:tcW w:w="8437" w:type="dxa"/>
          </w:tcPr>
          <w:p>
            <w:pPr>
              <w:spacing w:line="360" w:lineRule="auto"/>
              <w:jc w:val="left"/>
              <w:rPr>
                <w:b/>
                <w:bCs/>
                <w:spacing w:val="4"/>
                <w:sz w:val="24"/>
              </w:rPr>
            </w:pPr>
            <w:r>
              <w:rPr>
                <w:b/>
                <w:bCs/>
                <w:sz w:val="24"/>
              </w:rPr>
              <w:t>2.9</w:t>
            </w:r>
            <w:r>
              <w:rPr>
                <w:b/>
                <w:bCs/>
                <w:spacing w:val="4"/>
                <w:sz w:val="24"/>
              </w:rPr>
              <w:t>运营期工艺流程及产污环节</w:t>
            </w:r>
          </w:p>
          <w:p>
            <w:pPr>
              <w:autoSpaceDE w:val="0"/>
              <w:autoSpaceDN w:val="0"/>
              <w:spacing w:line="360" w:lineRule="auto"/>
              <w:ind w:firstLine="480" w:firstLineChars="200"/>
              <w:jc w:val="left"/>
              <w:rPr>
                <w:bCs/>
                <w:kern w:val="0"/>
                <w:sz w:val="24"/>
              </w:rPr>
            </w:pPr>
            <w:r>
              <w:rPr>
                <w:bCs/>
                <w:kern w:val="0"/>
                <w:sz w:val="24"/>
              </w:rPr>
              <w:t>本项目营运期工艺流程见图2-3所示。</w:t>
            </w:r>
          </w:p>
          <w:p>
            <w:pPr>
              <w:autoSpaceDE w:val="0"/>
              <w:autoSpaceDN w:val="0"/>
              <w:spacing w:line="360" w:lineRule="auto"/>
              <w:jc w:val="center"/>
              <w:rPr>
                <w:bCs/>
                <w:sz w:val="24"/>
                <w:highlight w:val="cyan"/>
              </w:rPr>
            </w:pPr>
            <w:r>
              <w:drawing>
                <wp:inline distT="0" distB="0" distL="0" distR="0">
                  <wp:extent cx="4570730" cy="783272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579042" cy="7846889"/>
                          </a:xfrm>
                          <a:prstGeom prst="rect">
                            <a:avLst/>
                          </a:prstGeom>
                          <a:noFill/>
                          <a:ln>
                            <a:noFill/>
                          </a:ln>
                        </pic:spPr>
                      </pic:pic>
                    </a:graphicData>
                  </a:graphic>
                </wp:inline>
              </w:drawing>
            </w:r>
          </w:p>
          <w:p>
            <w:pPr>
              <w:autoSpaceDE w:val="0"/>
              <w:autoSpaceDN w:val="0"/>
              <w:spacing w:line="360" w:lineRule="auto"/>
              <w:jc w:val="center"/>
              <w:rPr>
                <w:b/>
                <w:sz w:val="24"/>
              </w:rPr>
            </w:pPr>
            <w:r>
              <w:rPr>
                <w:b/>
                <w:sz w:val="24"/>
              </w:rPr>
              <w:t>图2-1  项目工艺流程图及产污环节</w:t>
            </w:r>
          </w:p>
          <w:p>
            <w:pPr>
              <w:autoSpaceDE w:val="0"/>
              <w:autoSpaceDN w:val="0"/>
              <w:spacing w:line="360" w:lineRule="auto"/>
              <w:ind w:firstLine="480" w:firstLineChars="200"/>
              <w:rPr>
                <w:sz w:val="24"/>
              </w:rPr>
            </w:pPr>
            <w:r>
              <w:rPr>
                <w:sz w:val="24"/>
              </w:rPr>
              <w:t>工艺流程说明：</w:t>
            </w:r>
          </w:p>
          <w:p>
            <w:pPr>
              <w:spacing w:line="360" w:lineRule="auto"/>
              <w:ind w:firstLine="480" w:firstLineChars="200"/>
              <w:rPr>
                <w:bCs/>
                <w:sz w:val="24"/>
              </w:rPr>
            </w:pPr>
            <w:r>
              <w:rPr>
                <w:bCs/>
                <w:sz w:val="24"/>
              </w:rPr>
              <w:t>（1）原料：项目生产原料主要为建筑垃圾及</w:t>
            </w:r>
            <w:r>
              <w:rPr>
                <w:rFonts w:hint="eastAsia"/>
                <w:bCs/>
                <w:sz w:val="24"/>
              </w:rPr>
              <w:t>泥</w:t>
            </w:r>
            <w:r>
              <w:rPr>
                <w:bCs/>
                <w:sz w:val="24"/>
              </w:rPr>
              <w:t>沙石，在封闭车间内原料堆存区堆放，车间顶部安装雾化喷淋装置，喷淋装置可覆盖整个车间。</w:t>
            </w:r>
          </w:p>
          <w:p>
            <w:pPr>
              <w:spacing w:line="360" w:lineRule="auto"/>
              <w:ind w:firstLine="480" w:firstLineChars="200"/>
              <w:rPr>
                <w:bCs/>
                <w:sz w:val="24"/>
              </w:rPr>
            </w:pPr>
            <w:r>
              <w:rPr>
                <w:bCs/>
                <w:sz w:val="24"/>
              </w:rPr>
              <w:t>（2）</w:t>
            </w:r>
            <w:r>
              <w:rPr>
                <w:rFonts w:hint="eastAsia"/>
                <w:bCs/>
                <w:sz w:val="24"/>
              </w:rPr>
              <w:t>给</w:t>
            </w:r>
            <w:r>
              <w:rPr>
                <w:bCs/>
                <w:sz w:val="24"/>
              </w:rPr>
              <w:t>料：原料进入料斗，进入振动</w:t>
            </w:r>
            <w:r>
              <w:rPr>
                <w:rFonts w:hint="eastAsia"/>
                <w:bCs/>
                <w:sz w:val="24"/>
              </w:rPr>
              <w:t>给</w:t>
            </w:r>
            <w:r>
              <w:rPr>
                <w:bCs/>
                <w:sz w:val="24"/>
              </w:rPr>
              <w:t>料机，经过输送带进入颚式破碎机进行破碎，破碎后的成品进入中间料仓。</w:t>
            </w:r>
          </w:p>
          <w:p>
            <w:pPr>
              <w:spacing w:line="360" w:lineRule="auto"/>
              <w:ind w:firstLine="480" w:firstLineChars="200"/>
              <w:rPr>
                <w:bCs/>
                <w:sz w:val="24"/>
              </w:rPr>
            </w:pPr>
            <w:r>
              <w:rPr>
                <w:bCs/>
                <w:sz w:val="24"/>
              </w:rPr>
              <w:t>（3）</w:t>
            </w:r>
            <w:r>
              <w:rPr>
                <w:sz w:val="24"/>
              </w:rPr>
              <w:t>颚</w:t>
            </w:r>
            <w:r>
              <w:rPr>
                <w:bCs/>
                <w:sz w:val="24"/>
              </w:rPr>
              <w:t>式破碎、筛分：项目原料为600mm以下的石块、建筑垃圾，由振动给料机均匀地送进颚式破碎机进行初步粗碎。经过粗碎后的物料经振动筛筛分出100mm以下的物料进入后续工序，大于100mm的物料返回鄂式破碎机再次破碎。</w:t>
            </w:r>
          </w:p>
          <w:p>
            <w:pPr>
              <w:spacing w:line="360" w:lineRule="auto"/>
              <w:ind w:firstLine="480" w:firstLineChars="200"/>
              <w:rPr>
                <w:bCs/>
                <w:sz w:val="24"/>
              </w:rPr>
            </w:pPr>
            <w:r>
              <w:rPr>
                <w:bCs/>
                <w:sz w:val="24"/>
              </w:rPr>
              <w:t>（4）圆锥破碎机：粗碎筛分后的物料由皮带机输送至圆锥破碎机进一步破碎；经过圆锥破碎后的物料进入制砂机进行制砂，制砂后通过皮带运输机送至振动筛，筛分出不同规格的成品，12规格及11规格的成品砂进入到洗砂机进行洗砂。石粉石沫直接外运出售。大于20mm的物料返回圆锥破碎机再次破碎。</w:t>
            </w:r>
          </w:p>
          <w:p>
            <w:pPr>
              <w:spacing w:line="360" w:lineRule="auto"/>
              <w:ind w:firstLine="480" w:firstLineChars="200"/>
              <w:rPr>
                <w:bCs/>
                <w:sz w:val="24"/>
              </w:rPr>
            </w:pPr>
            <w:r>
              <w:rPr>
                <w:bCs/>
                <w:sz w:val="24"/>
              </w:rPr>
              <w:t>（5）洗砂：洗砂部分包含洗砂单元，污水沉淀单元，药剂添加单元，泥浆压滤单元，清水循环单元，电器控制单元等组成。振动筛筛分后的半成品砂经过一道或二道洗砂机清洗，洗干净的砂到高频脱水筛脱水后由输送带输送至成品料仓，洗砂系统处理后的污水经管道流到</w:t>
            </w:r>
            <w:r>
              <w:rPr>
                <w:sz w:val="24"/>
              </w:rPr>
              <w:t>污水</w:t>
            </w:r>
            <w:r>
              <w:rPr>
                <w:rFonts w:hint="eastAsia"/>
                <w:sz w:val="24"/>
              </w:rPr>
              <w:t>罐</w:t>
            </w:r>
            <w:r>
              <w:rPr>
                <w:sz w:val="24"/>
              </w:rPr>
              <w:t>内，经过絮凝沉淀浓缩后，暂存于</w:t>
            </w:r>
            <w:r>
              <w:rPr>
                <w:rFonts w:hint="eastAsia"/>
                <w:sz w:val="24"/>
              </w:rPr>
              <w:t>污水罐</w:t>
            </w:r>
            <w:r>
              <w:rPr>
                <w:sz w:val="24"/>
              </w:rPr>
              <w:t>中，经压滤机处理后将泥浆中的水、泥分离，分离后的水流入清水池循环使用，</w:t>
            </w:r>
            <w:r>
              <w:rPr>
                <w:bCs/>
                <w:sz w:val="24"/>
              </w:rPr>
              <w:t>下层泥浆由液压泵输送至压滤机进行脱水压滤，经压滤后运至垃圾填埋场填埋。</w:t>
            </w:r>
          </w:p>
          <w:p>
            <w:pPr>
              <w:spacing w:line="360" w:lineRule="auto"/>
              <w:ind w:left="73" w:leftChars="35" w:right="73" w:rightChars="35" w:firstLine="480" w:firstLineChars="200"/>
              <w:rPr>
                <w:bCs/>
                <w:sz w:val="24"/>
              </w:rPr>
            </w:pPr>
            <w:r>
              <w:rPr>
                <w:bCs/>
                <w:sz w:val="24"/>
              </w:rPr>
              <w:t>清洗后，石粉和泥粉含量减少，含水率较高（约10%），故成品砂在堆存、输送、装卸等过程基本无粉尘产生。</w:t>
            </w:r>
          </w:p>
          <w:p>
            <w:pPr>
              <w:spacing w:line="360" w:lineRule="auto"/>
              <w:ind w:left="73" w:leftChars="35" w:right="73" w:rightChars="35" w:firstLine="480" w:firstLineChars="200"/>
              <w:rPr>
                <w:bCs/>
                <w:sz w:val="24"/>
              </w:rPr>
            </w:pPr>
            <w:r>
              <w:rPr>
                <w:bCs/>
                <w:sz w:val="24"/>
              </w:rPr>
              <w:t>（6）成品运输：本项目成品采用铲车给产品车辆装车，项目委托运输公司对项目原材料及产品进行运输。</w:t>
            </w:r>
          </w:p>
          <w:p>
            <w:pPr>
              <w:spacing w:line="360" w:lineRule="auto"/>
              <w:rPr>
                <w:sz w:val="24"/>
                <w:highlight w:val="cyan"/>
              </w:rPr>
            </w:pPr>
          </w:p>
          <w:p>
            <w:pPr>
              <w:spacing w:line="360" w:lineRule="auto"/>
              <w:rPr>
                <w:sz w:val="24"/>
                <w:highlight w:val="cyan"/>
              </w:rPr>
            </w:pPr>
          </w:p>
          <w:p>
            <w:pPr>
              <w:spacing w:line="360" w:lineRule="auto"/>
              <w:rPr>
                <w:sz w:val="24"/>
                <w:highlight w:val="cyan"/>
              </w:rPr>
            </w:pPr>
          </w:p>
          <w:p>
            <w:pPr>
              <w:spacing w:line="360" w:lineRule="auto"/>
              <w:rPr>
                <w:sz w:val="24"/>
                <w:highlight w:val="cyan"/>
              </w:rPr>
            </w:pPr>
          </w:p>
          <w:p>
            <w:pPr>
              <w:adjustRightInd w:val="0"/>
              <w:spacing w:after="360" w:afterLines="150" w:line="360" w:lineRule="auto"/>
              <w:rPr>
                <w:bCs/>
                <w:sz w:val="24"/>
                <w:highlight w:val="cy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8" w:hRule="atLeast"/>
          <w:jc w:val="center"/>
        </w:trPr>
        <w:tc>
          <w:tcPr>
            <w:tcW w:w="851" w:type="dxa"/>
            <w:vAlign w:val="center"/>
          </w:tcPr>
          <w:p>
            <w:pPr>
              <w:pStyle w:val="21"/>
              <w:adjustRightInd w:val="0"/>
              <w:snapToGrid w:val="0"/>
              <w:spacing w:before="0" w:beforeAutospacing="0" w:after="0" w:afterAutospacing="0"/>
              <w:jc w:val="center"/>
              <w:rPr>
                <w:rFonts w:ascii="Times New Roman" w:hAnsi="Times New Roman"/>
                <w:szCs w:val="24"/>
              </w:rPr>
            </w:pPr>
            <w:r>
              <w:rPr>
                <w:rFonts w:ascii="Times New Roman" w:hAnsi="Times New Roman"/>
                <w:bCs/>
                <w:kern w:val="2"/>
                <w:szCs w:val="24"/>
              </w:rPr>
              <w:t>与项目有关的原有环境污染问题</w:t>
            </w:r>
          </w:p>
        </w:tc>
        <w:tc>
          <w:tcPr>
            <w:tcW w:w="8437" w:type="dxa"/>
          </w:tcPr>
          <w:p>
            <w:pPr>
              <w:spacing w:line="360" w:lineRule="auto"/>
              <w:ind w:firstLine="480" w:firstLineChars="200"/>
              <w:outlineLvl w:val="0"/>
              <w:rPr>
                <w:rFonts w:ascii="宋体" w:hAnsi="宋体"/>
                <w:bCs/>
                <w:sz w:val="24"/>
                <w:szCs w:val="22"/>
              </w:rPr>
            </w:pPr>
            <w:r>
              <w:rPr>
                <w:rFonts w:hint="eastAsia" w:ascii="宋体" w:hAnsi="宋体"/>
                <w:bCs/>
                <w:sz w:val="24"/>
                <w:szCs w:val="22"/>
              </w:rPr>
              <w:t>本项目建设地点位于陕西省西安市灞桥区灞桥街</w:t>
            </w:r>
            <w:r>
              <w:rPr>
                <w:rFonts w:hint="eastAsia" w:ascii="宋体" w:hAnsi="宋体"/>
                <w:bCs/>
                <w:sz w:val="24"/>
                <w:szCs w:val="22"/>
                <w:lang w:val="en-US" w:eastAsia="zh-CN"/>
              </w:rPr>
              <w:t>道</w:t>
            </w:r>
            <w:r>
              <w:rPr>
                <w:rFonts w:hint="eastAsia" w:ascii="宋体" w:hAnsi="宋体"/>
                <w:bCs/>
                <w:sz w:val="24"/>
                <w:szCs w:val="22"/>
                <w:lang w:eastAsia="zh-CN"/>
              </w:rPr>
              <w:t>歇驾寺村</w:t>
            </w:r>
            <w:r>
              <w:rPr>
                <w:rFonts w:hint="eastAsia" w:ascii="宋体" w:hAnsi="宋体"/>
                <w:bCs/>
                <w:sz w:val="24"/>
                <w:szCs w:val="22"/>
              </w:rPr>
              <w:t>6号，租赁已建成用房，经现场踏勘，目前为空置用房，不存在原有污染情况及主要的环境问题。</w:t>
            </w:r>
          </w:p>
          <w:p>
            <w:pPr>
              <w:rPr>
                <w:sz w:val="24"/>
              </w:rPr>
            </w:pPr>
          </w:p>
          <w:p>
            <w:pPr>
              <w:rPr>
                <w:sz w:val="24"/>
              </w:rPr>
            </w:pPr>
          </w:p>
          <w:p>
            <w:pPr>
              <w:pStyle w:val="44"/>
              <w:rPr>
                <w:rFonts w:ascii="Times New Roman" w:cs="Times New Roman"/>
                <w:color w:val="auto"/>
              </w:rPr>
            </w:pPr>
          </w:p>
          <w:p>
            <w:pPr>
              <w:rPr>
                <w:sz w:val="24"/>
              </w:rPr>
            </w:pPr>
          </w:p>
          <w:p>
            <w:pPr>
              <w:pStyle w:val="44"/>
              <w:rPr>
                <w:rFonts w:ascii="Times New Roman" w:cs="Times New Roman"/>
                <w:color w:val="auto"/>
              </w:rPr>
            </w:pPr>
          </w:p>
          <w:p>
            <w:pPr>
              <w:rPr>
                <w:sz w:val="24"/>
              </w:rPr>
            </w:pPr>
          </w:p>
          <w:p>
            <w:pPr>
              <w:rPr>
                <w:sz w:val="24"/>
              </w:rPr>
            </w:pPr>
          </w:p>
          <w:p>
            <w:pPr>
              <w:pStyle w:val="44"/>
              <w:rPr>
                <w:rFonts w:ascii="Times New Roman" w:cs="Times New Roman"/>
                <w:color w:val="auto"/>
              </w:rPr>
            </w:pPr>
          </w:p>
          <w:p>
            <w:pPr>
              <w:rPr>
                <w:sz w:val="24"/>
              </w:rPr>
            </w:pPr>
          </w:p>
          <w:p>
            <w:pPr>
              <w:pStyle w:val="44"/>
              <w:rPr>
                <w:rFonts w:ascii="Times New Roman" w:cs="Times New Roman"/>
                <w:color w:val="auto"/>
              </w:rPr>
            </w:pPr>
          </w:p>
          <w:p>
            <w:pPr>
              <w:rPr>
                <w:sz w:val="24"/>
              </w:rPr>
            </w:pPr>
          </w:p>
          <w:p>
            <w:pPr>
              <w:pStyle w:val="44"/>
              <w:rPr>
                <w:rFonts w:ascii="Times New Roman" w:cs="Times New Roman"/>
                <w:color w:val="auto"/>
              </w:rPr>
            </w:pPr>
          </w:p>
          <w:p>
            <w:pPr>
              <w:rPr>
                <w:sz w:val="24"/>
              </w:rPr>
            </w:pPr>
          </w:p>
          <w:p>
            <w:pPr>
              <w:rPr>
                <w:sz w:val="24"/>
              </w:rPr>
            </w:pPr>
          </w:p>
          <w:p>
            <w:pPr>
              <w:pStyle w:val="44"/>
              <w:rPr>
                <w:rFonts w:ascii="Times New Roman" w:cs="Times New Roman"/>
                <w:color w:val="auto"/>
              </w:rPr>
            </w:pPr>
          </w:p>
          <w:p>
            <w:pPr>
              <w:rPr>
                <w:sz w:val="24"/>
              </w:rPr>
            </w:pPr>
          </w:p>
          <w:p>
            <w:pPr>
              <w:pStyle w:val="44"/>
              <w:rPr>
                <w:rFonts w:ascii="Times New Roman" w:cs="Times New Roman"/>
                <w:color w:val="auto"/>
              </w:rPr>
            </w:pPr>
          </w:p>
          <w:p>
            <w:pPr>
              <w:rPr>
                <w:sz w:val="24"/>
              </w:rPr>
            </w:pPr>
          </w:p>
          <w:p>
            <w:pPr>
              <w:pStyle w:val="44"/>
              <w:rPr>
                <w:rFonts w:ascii="Times New Roman" w:cs="Times New Roman"/>
                <w:color w:val="auto"/>
              </w:rPr>
            </w:pPr>
          </w:p>
          <w:p>
            <w:pPr>
              <w:pStyle w:val="46"/>
              <w:rPr>
                <w:rFonts w:ascii="Times New Roman"/>
              </w:rPr>
            </w:pPr>
          </w:p>
          <w:p/>
          <w:p>
            <w:pPr>
              <w:pStyle w:val="2"/>
            </w:pPr>
          </w:p>
          <w:p/>
          <w:p>
            <w:pPr>
              <w:pStyle w:val="2"/>
            </w:pPr>
          </w:p>
          <w:p/>
          <w:p>
            <w:pPr>
              <w:pStyle w:val="2"/>
            </w:pPr>
          </w:p>
          <w:p/>
          <w:p>
            <w:pPr>
              <w:pStyle w:val="2"/>
            </w:pPr>
          </w:p>
          <w:p/>
          <w:p>
            <w:pPr>
              <w:pStyle w:val="2"/>
            </w:pPr>
          </w:p>
          <w:p>
            <w:pPr>
              <w:rPr>
                <w:sz w:val="24"/>
              </w:rPr>
            </w:pPr>
          </w:p>
          <w:p>
            <w:pPr>
              <w:rPr>
                <w:sz w:val="24"/>
              </w:rPr>
            </w:pPr>
          </w:p>
          <w:p>
            <w:pPr>
              <w:pStyle w:val="2"/>
              <w:widowControl w:val="0"/>
              <w:snapToGrid/>
              <w:spacing w:after="240" w:afterLines="100" w:line="360" w:lineRule="auto"/>
              <w:rPr>
                <w:bCs/>
                <w:sz w:val="24"/>
                <w:szCs w:val="24"/>
              </w:rPr>
            </w:pPr>
          </w:p>
        </w:tc>
      </w:tr>
    </w:tbl>
    <w:p>
      <w:pPr>
        <w:pStyle w:val="21"/>
        <w:jc w:val="center"/>
        <w:rPr>
          <w:rFonts w:ascii="Times New Roman" w:hAnsi="Times New Roman" w:eastAsia="黑体"/>
          <w:snapToGrid w:val="0"/>
          <w:sz w:val="36"/>
          <w:szCs w:val="36"/>
          <w:highlight w:val="cyan"/>
        </w:rPr>
        <w:sectPr>
          <w:pgSz w:w="11906" w:h="16838"/>
          <w:pgMar w:top="1417" w:right="1417" w:bottom="1417" w:left="1417" w:header="851" w:footer="851" w:gutter="0"/>
          <w:cols w:space="720" w:num="1"/>
          <w:docGrid w:linePitch="312" w:charSpace="0"/>
        </w:sectPr>
      </w:pPr>
    </w:p>
    <w:p>
      <w:pPr>
        <w:pStyle w:val="21"/>
        <w:adjustRightInd w:val="0"/>
        <w:snapToGrid w:val="0"/>
        <w:spacing w:before="0" w:beforeAutospacing="0" w:after="0" w:afterAutospacing="0" w:line="14" w:lineRule="auto"/>
        <w:jc w:val="center"/>
        <w:outlineLvl w:val="0"/>
        <w:rPr>
          <w:rFonts w:ascii="Times New Roman" w:hAnsi="Times New Roman" w:eastAsia="黑体"/>
          <w:snapToGrid w:val="0"/>
          <w:sz w:val="30"/>
          <w:szCs w:val="30"/>
          <w:highlight w:val="cyan"/>
        </w:rPr>
      </w:pPr>
    </w:p>
    <w:p>
      <w:pPr>
        <w:pStyle w:val="21"/>
        <w:jc w:val="center"/>
        <w:outlineLvl w:val="0"/>
        <w:rPr>
          <w:rFonts w:ascii="Times New Roman" w:hAnsi="Times New Roman" w:eastAsia="黑体"/>
          <w:snapToGrid w:val="0"/>
          <w:sz w:val="30"/>
          <w:szCs w:val="30"/>
        </w:rPr>
      </w:pPr>
      <w:bookmarkStart w:id="6" w:name="_Toc103016568"/>
      <w:r>
        <w:rPr>
          <w:rFonts w:ascii="Times New Roman" w:hAnsi="Times New Roman" w:eastAsia="黑体"/>
          <w:snapToGrid w:val="0"/>
          <w:sz w:val="30"/>
          <w:szCs w:val="30"/>
        </w:rPr>
        <w:t>三、区域环境质量现状、环境保护目标及评价标准</w:t>
      </w:r>
      <w:bookmarkEnd w:id="6"/>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4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906" w:hRule="atLeast"/>
          <w:jc w:val="center"/>
        </w:trPr>
        <w:tc>
          <w:tcPr>
            <w:tcW w:w="827" w:type="dxa"/>
            <w:vAlign w:val="center"/>
          </w:tcPr>
          <w:p>
            <w:pPr>
              <w:adjustRightInd w:val="0"/>
              <w:snapToGrid w:val="0"/>
              <w:jc w:val="center"/>
              <w:rPr>
                <w:kern w:val="0"/>
                <w:sz w:val="24"/>
              </w:rPr>
            </w:pPr>
            <w:r>
              <w:rPr>
                <w:kern w:val="0"/>
                <w:sz w:val="24"/>
              </w:rPr>
              <w:t>区域</w:t>
            </w:r>
          </w:p>
          <w:p>
            <w:pPr>
              <w:adjustRightInd w:val="0"/>
              <w:snapToGrid w:val="0"/>
              <w:jc w:val="center"/>
              <w:rPr>
                <w:kern w:val="0"/>
                <w:sz w:val="24"/>
              </w:rPr>
            </w:pPr>
            <w:r>
              <w:rPr>
                <w:kern w:val="0"/>
                <w:sz w:val="24"/>
              </w:rPr>
              <w:t>环境</w:t>
            </w:r>
          </w:p>
          <w:p>
            <w:pPr>
              <w:adjustRightInd w:val="0"/>
              <w:snapToGrid w:val="0"/>
              <w:jc w:val="center"/>
              <w:rPr>
                <w:kern w:val="0"/>
                <w:sz w:val="24"/>
              </w:rPr>
            </w:pPr>
            <w:r>
              <w:rPr>
                <w:kern w:val="0"/>
                <w:sz w:val="24"/>
              </w:rPr>
              <w:t>质量</w:t>
            </w:r>
          </w:p>
          <w:p>
            <w:pPr>
              <w:adjustRightInd w:val="0"/>
              <w:snapToGrid w:val="0"/>
              <w:jc w:val="center"/>
              <w:rPr>
                <w:kern w:val="0"/>
                <w:sz w:val="24"/>
              </w:rPr>
            </w:pPr>
            <w:r>
              <w:rPr>
                <w:kern w:val="0"/>
                <w:sz w:val="24"/>
              </w:rPr>
              <w:t>现状</w:t>
            </w:r>
          </w:p>
        </w:tc>
        <w:tc>
          <w:tcPr>
            <w:tcW w:w="8462" w:type="dxa"/>
            <w:vAlign w:val="center"/>
          </w:tcPr>
          <w:p>
            <w:pPr>
              <w:tabs>
                <w:tab w:val="left" w:pos="3555"/>
              </w:tabs>
              <w:spacing w:before="120" w:beforeLines="50" w:line="360" w:lineRule="auto"/>
              <w:rPr>
                <w:rStyle w:val="64"/>
                <w:b/>
                <w:sz w:val="24"/>
              </w:rPr>
            </w:pPr>
            <w:r>
              <w:rPr>
                <w:rStyle w:val="64"/>
                <w:b/>
                <w:sz w:val="24"/>
              </w:rPr>
              <w:t>3.1环境空气质量现状</w:t>
            </w:r>
            <w:r>
              <w:rPr>
                <w:b/>
                <w:sz w:val="24"/>
              </w:rPr>
              <w:t>调查与评价</w:t>
            </w:r>
            <w:r>
              <w:rPr>
                <w:rStyle w:val="64"/>
                <w:b/>
                <w:sz w:val="24"/>
              </w:rPr>
              <w:tab/>
            </w:r>
          </w:p>
          <w:p>
            <w:pPr>
              <w:spacing w:line="360" w:lineRule="auto"/>
              <w:ind w:firstLine="480" w:firstLineChars="200"/>
              <w:jc w:val="left"/>
              <w:rPr>
                <w:color w:val="000000"/>
                <w:sz w:val="24"/>
              </w:rPr>
            </w:pPr>
            <w:r>
              <w:rPr>
                <w:rFonts w:hint="eastAsia"/>
                <w:color w:val="000000"/>
                <w:sz w:val="24"/>
              </w:rPr>
              <w:t>（1）基本污染物质量现状</w:t>
            </w:r>
          </w:p>
          <w:p>
            <w:pPr>
              <w:spacing w:line="360" w:lineRule="auto"/>
              <w:ind w:firstLine="480" w:firstLineChars="200"/>
              <w:jc w:val="left"/>
              <w:rPr>
                <w:sz w:val="24"/>
              </w:rPr>
            </w:pPr>
            <w:r>
              <w:rPr>
                <w:sz w:val="24"/>
              </w:rPr>
              <w:t>根据大气功能区划，本项目所在地为二类功能区，环境空气质量标准执行《环境空气质量标准》（GB3095-2012）二级标准要求。</w:t>
            </w:r>
          </w:p>
          <w:p>
            <w:pPr>
              <w:widowControl/>
              <w:spacing w:line="360" w:lineRule="auto"/>
              <w:ind w:firstLine="480"/>
              <w:jc w:val="left"/>
              <w:rPr>
                <w:kern w:val="0"/>
                <w:sz w:val="24"/>
              </w:rPr>
            </w:pPr>
            <w:r>
              <w:rPr>
                <w:rFonts w:hint="eastAsia"/>
                <w:kern w:val="0"/>
                <w:sz w:val="24"/>
              </w:rPr>
              <w:t>本次评价采用陕西省生态环境厅办公室20</w:t>
            </w:r>
            <w:r>
              <w:rPr>
                <w:kern w:val="0"/>
                <w:sz w:val="24"/>
              </w:rPr>
              <w:t>22</w:t>
            </w:r>
            <w:r>
              <w:rPr>
                <w:rFonts w:hint="eastAsia"/>
                <w:kern w:val="0"/>
                <w:sz w:val="24"/>
              </w:rPr>
              <w:t>年1月</w:t>
            </w:r>
            <w:r>
              <w:rPr>
                <w:kern w:val="0"/>
                <w:sz w:val="24"/>
              </w:rPr>
              <w:t>13</w:t>
            </w:r>
            <w:r>
              <w:rPr>
                <w:rFonts w:hint="eastAsia"/>
                <w:kern w:val="0"/>
                <w:sz w:val="24"/>
              </w:rPr>
              <w:t>日发布的《</w:t>
            </w:r>
            <w:r>
              <w:rPr>
                <w:kern w:val="0"/>
                <w:sz w:val="24"/>
                <w:szCs w:val="20"/>
              </w:rPr>
              <w:t>2021</w:t>
            </w:r>
            <w:r>
              <w:rPr>
                <w:rFonts w:hint="eastAsia"/>
                <w:kern w:val="0"/>
                <w:sz w:val="24"/>
                <w:szCs w:val="20"/>
              </w:rPr>
              <w:t>年</w:t>
            </w:r>
            <w:r>
              <w:rPr>
                <w:kern w:val="0"/>
                <w:sz w:val="24"/>
                <w:szCs w:val="20"/>
              </w:rPr>
              <w:t>12</w:t>
            </w:r>
            <w:r>
              <w:rPr>
                <w:rFonts w:hint="eastAsia"/>
                <w:kern w:val="0"/>
                <w:sz w:val="24"/>
                <w:szCs w:val="20"/>
              </w:rPr>
              <w:t>月及</w:t>
            </w:r>
            <w:r>
              <w:rPr>
                <w:kern w:val="0"/>
                <w:sz w:val="24"/>
                <w:szCs w:val="20"/>
              </w:rPr>
              <w:t>1~12</w:t>
            </w:r>
            <w:r>
              <w:rPr>
                <w:rFonts w:hint="eastAsia"/>
                <w:kern w:val="0"/>
                <w:sz w:val="24"/>
                <w:szCs w:val="20"/>
              </w:rPr>
              <w:t>月全省环境空气质量状况</w:t>
            </w:r>
            <w:r>
              <w:rPr>
                <w:rFonts w:hint="eastAsia"/>
                <w:kern w:val="0"/>
                <w:sz w:val="24"/>
              </w:rPr>
              <w:t>》中灞桥区20</w:t>
            </w:r>
            <w:r>
              <w:rPr>
                <w:kern w:val="0"/>
                <w:sz w:val="24"/>
              </w:rPr>
              <w:t>21</w:t>
            </w:r>
            <w:r>
              <w:rPr>
                <w:rFonts w:hint="eastAsia"/>
                <w:kern w:val="0"/>
                <w:sz w:val="24"/>
              </w:rPr>
              <w:t>年1~12月的数据来说明本项目区域环境空气质量现状。区域环境空气质量现状评价具体分析结果如下：</w:t>
            </w:r>
          </w:p>
          <w:p>
            <w:pPr>
              <w:widowControl/>
              <w:adjustRightInd w:val="0"/>
              <w:snapToGrid w:val="0"/>
              <w:spacing w:line="360" w:lineRule="auto"/>
              <w:ind w:firstLine="420"/>
              <w:jc w:val="center"/>
              <w:rPr>
                <w:rFonts w:hAnsi="宋体"/>
                <w:b/>
                <w:bCs/>
                <w:kern w:val="0"/>
                <w:szCs w:val="22"/>
              </w:rPr>
            </w:pPr>
            <w:r>
              <w:rPr>
                <w:b/>
                <w:bCs/>
                <w:kern w:val="0"/>
                <w:szCs w:val="21"/>
              </w:rPr>
              <w:t>表</w:t>
            </w:r>
            <w:r>
              <w:rPr>
                <w:rFonts w:hint="eastAsia"/>
                <w:b/>
                <w:bCs/>
                <w:kern w:val="0"/>
                <w:szCs w:val="21"/>
              </w:rPr>
              <w:t>3</w:t>
            </w:r>
            <w:r>
              <w:rPr>
                <w:b/>
                <w:bCs/>
                <w:kern w:val="0"/>
                <w:szCs w:val="21"/>
              </w:rPr>
              <w:t>-1</w:t>
            </w:r>
            <w:r>
              <w:rPr>
                <w:rFonts w:hint="eastAsia" w:hAnsi="宋体"/>
                <w:b/>
                <w:bCs/>
                <w:kern w:val="0"/>
                <w:szCs w:val="22"/>
              </w:rPr>
              <w:t>区域环境空气质量现状评价表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640"/>
              <w:gridCol w:w="1221"/>
              <w:gridCol w:w="1188"/>
              <w:gridCol w:w="1296"/>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3" w:type="pct"/>
                  <w:shd w:val="clear" w:color="auto" w:fill="auto"/>
                  <w:vAlign w:val="center"/>
                </w:tcPr>
                <w:p>
                  <w:pPr>
                    <w:widowControl/>
                    <w:jc w:val="center"/>
                    <w:rPr>
                      <w:b/>
                      <w:bCs/>
                      <w:kern w:val="0"/>
                      <w:szCs w:val="21"/>
                    </w:rPr>
                  </w:pPr>
                  <w:r>
                    <w:rPr>
                      <w:rFonts w:hint="eastAsia"/>
                      <w:b/>
                      <w:bCs/>
                      <w:kern w:val="0"/>
                      <w:szCs w:val="21"/>
                    </w:rPr>
                    <w:t>污染物</w:t>
                  </w:r>
                </w:p>
              </w:tc>
              <w:tc>
                <w:tcPr>
                  <w:tcW w:w="1603" w:type="pct"/>
                  <w:shd w:val="clear" w:color="auto" w:fill="auto"/>
                  <w:vAlign w:val="center"/>
                </w:tcPr>
                <w:p>
                  <w:pPr>
                    <w:widowControl/>
                    <w:jc w:val="center"/>
                    <w:rPr>
                      <w:b/>
                      <w:bCs/>
                      <w:kern w:val="0"/>
                      <w:szCs w:val="21"/>
                    </w:rPr>
                  </w:pPr>
                  <w:r>
                    <w:rPr>
                      <w:rFonts w:hint="eastAsia"/>
                      <w:b/>
                      <w:bCs/>
                      <w:kern w:val="0"/>
                      <w:szCs w:val="21"/>
                    </w:rPr>
                    <w:t>年评价指标</w:t>
                  </w:r>
                </w:p>
              </w:tc>
              <w:tc>
                <w:tcPr>
                  <w:tcW w:w="741" w:type="pct"/>
                  <w:shd w:val="clear" w:color="auto" w:fill="auto"/>
                  <w:vAlign w:val="center"/>
                </w:tcPr>
                <w:p>
                  <w:pPr>
                    <w:widowControl/>
                    <w:jc w:val="center"/>
                    <w:rPr>
                      <w:b/>
                      <w:bCs/>
                      <w:kern w:val="0"/>
                      <w:szCs w:val="21"/>
                    </w:rPr>
                  </w:pPr>
                  <w:r>
                    <w:rPr>
                      <w:rFonts w:hint="eastAsia"/>
                      <w:b/>
                      <w:bCs/>
                      <w:kern w:val="0"/>
                      <w:szCs w:val="21"/>
                    </w:rPr>
                    <w:t>现状浓度（</w:t>
                  </w:r>
                  <w:r>
                    <w:rPr>
                      <w:b/>
                      <w:bCs/>
                      <w:kern w:val="0"/>
                      <w:szCs w:val="21"/>
                    </w:rPr>
                    <w:t>μg/m</w:t>
                  </w:r>
                  <w:r>
                    <w:rPr>
                      <w:b/>
                      <w:bCs/>
                      <w:kern w:val="0"/>
                      <w:szCs w:val="21"/>
                      <w:vertAlign w:val="superscript"/>
                    </w:rPr>
                    <w:t>3</w:t>
                  </w:r>
                  <w:r>
                    <w:rPr>
                      <w:rFonts w:hint="eastAsia"/>
                      <w:b/>
                      <w:bCs/>
                      <w:kern w:val="0"/>
                      <w:szCs w:val="21"/>
                    </w:rPr>
                    <w:t>）</w:t>
                  </w:r>
                </w:p>
              </w:tc>
              <w:tc>
                <w:tcPr>
                  <w:tcW w:w="721" w:type="pct"/>
                  <w:shd w:val="clear" w:color="auto" w:fill="auto"/>
                  <w:vAlign w:val="center"/>
                </w:tcPr>
                <w:p>
                  <w:pPr>
                    <w:widowControl/>
                    <w:jc w:val="center"/>
                    <w:rPr>
                      <w:b/>
                      <w:bCs/>
                      <w:kern w:val="0"/>
                      <w:szCs w:val="21"/>
                    </w:rPr>
                  </w:pPr>
                  <w:r>
                    <w:rPr>
                      <w:rFonts w:hint="eastAsia"/>
                      <w:b/>
                      <w:bCs/>
                      <w:kern w:val="0"/>
                      <w:szCs w:val="21"/>
                    </w:rPr>
                    <w:t>标准值（</w:t>
                  </w:r>
                  <w:r>
                    <w:rPr>
                      <w:b/>
                      <w:bCs/>
                      <w:kern w:val="0"/>
                      <w:szCs w:val="21"/>
                    </w:rPr>
                    <w:t>μg/m</w:t>
                  </w:r>
                  <w:r>
                    <w:rPr>
                      <w:b/>
                      <w:bCs/>
                      <w:kern w:val="0"/>
                      <w:szCs w:val="21"/>
                      <w:vertAlign w:val="superscript"/>
                    </w:rPr>
                    <w:t>3</w:t>
                  </w:r>
                  <w:r>
                    <w:rPr>
                      <w:rFonts w:hint="eastAsia"/>
                      <w:b/>
                      <w:bCs/>
                      <w:kern w:val="0"/>
                      <w:szCs w:val="21"/>
                    </w:rPr>
                    <w:t>）</w:t>
                  </w:r>
                </w:p>
              </w:tc>
              <w:tc>
                <w:tcPr>
                  <w:tcW w:w="787" w:type="pct"/>
                  <w:shd w:val="clear" w:color="auto" w:fill="auto"/>
                  <w:vAlign w:val="center"/>
                </w:tcPr>
                <w:p>
                  <w:pPr>
                    <w:widowControl/>
                    <w:jc w:val="center"/>
                    <w:rPr>
                      <w:b/>
                      <w:bCs/>
                      <w:kern w:val="0"/>
                      <w:szCs w:val="21"/>
                    </w:rPr>
                  </w:pPr>
                  <w:r>
                    <w:rPr>
                      <w:rFonts w:hint="eastAsia"/>
                      <w:b/>
                      <w:bCs/>
                      <w:kern w:val="0"/>
                      <w:szCs w:val="21"/>
                    </w:rPr>
                    <w:t>占标率（%）</w:t>
                  </w:r>
                </w:p>
              </w:tc>
              <w:tc>
                <w:tcPr>
                  <w:tcW w:w="635" w:type="pct"/>
                  <w:shd w:val="clear" w:color="auto" w:fill="auto"/>
                  <w:vAlign w:val="center"/>
                </w:tcPr>
                <w:p>
                  <w:pPr>
                    <w:widowControl/>
                    <w:jc w:val="center"/>
                    <w:rPr>
                      <w:b/>
                      <w:bCs/>
                      <w:kern w:val="0"/>
                      <w:szCs w:val="21"/>
                    </w:rPr>
                  </w:pPr>
                  <w:r>
                    <w:rPr>
                      <w:rFonts w:hint="eastAsia"/>
                      <w:b/>
                      <w:bCs/>
                      <w:kern w:val="0"/>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3" w:type="pct"/>
                  <w:shd w:val="clear" w:color="auto" w:fill="auto"/>
                  <w:vAlign w:val="center"/>
                </w:tcPr>
                <w:p>
                  <w:pPr>
                    <w:widowControl/>
                    <w:jc w:val="center"/>
                    <w:rPr>
                      <w:kern w:val="0"/>
                      <w:szCs w:val="21"/>
                    </w:rPr>
                  </w:pPr>
                  <w:r>
                    <w:rPr>
                      <w:kern w:val="0"/>
                      <w:szCs w:val="21"/>
                    </w:rPr>
                    <w:t>PM</w:t>
                  </w:r>
                  <w:r>
                    <w:rPr>
                      <w:kern w:val="0"/>
                      <w:szCs w:val="21"/>
                      <w:vertAlign w:val="subscript"/>
                    </w:rPr>
                    <w:t>2.5</w:t>
                  </w:r>
                </w:p>
              </w:tc>
              <w:tc>
                <w:tcPr>
                  <w:tcW w:w="1603" w:type="pct"/>
                  <w:shd w:val="clear" w:color="auto" w:fill="auto"/>
                  <w:vAlign w:val="center"/>
                </w:tcPr>
                <w:p>
                  <w:pPr>
                    <w:widowControl/>
                    <w:jc w:val="center"/>
                    <w:rPr>
                      <w:kern w:val="0"/>
                      <w:szCs w:val="21"/>
                    </w:rPr>
                  </w:pPr>
                  <w:r>
                    <w:rPr>
                      <w:rFonts w:hint="eastAsia"/>
                      <w:kern w:val="0"/>
                      <w:szCs w:val="21"/>
                    </w:rPr>
                    <w:t>年平均质量浓度</w:t>
                  </w:r>
                </w:p>
              </w:tc>
              <w:tc>
                <w:tcPr>
                  <w:tcW w:w="741" w:type="pct"/>
                  <w:shd w:val="clear" w:color="auto" w:fill="auto"/>
                  <w:vAlign w:val="center"/>
                </w:tcPr>
                <w:p>
                  <w:pPr>
                    <w:widowControl/>
                    <w:jc w:val="center"/>
                    <w:rPr>
                      <w:kern w:val="0"/>
                      <w:szCs w:val="21"/>
                    </w:rPr>
                  </w:pPr>
                  <w:r>
                    <w:rPr>
                      <w:kern w:val="0"/>
                      <w:szCs w:val="21"/>
                    </w:rPr>
                    <w:t>39</w:t>
                  </w:r>
                </w:p>
              </w:tc>
              <w:tc>
                <w:tcPr>
                  <w:tcW w:w="721" w:type="pct"/>
                  <w:shd w:val="clear" w:color="auto" w:fill="auto"/>
                  <w:vAlign w:val="center"/>
                </w:tcPr>
                <w:p>
                  <w:pPr>
                    <w:widowControl/>
                    <w:jc w:val="center"/>
                    <w:rPr>
                      <w:kern w:val="0"/>
                      <w:szCs w:val="21"/>
                    </w:rPr>
                  </w:pPr>
                  <w:r>
                    <w:rPr>
                      <w:rFonts w:hint="eastAsia"/>
                      <w:kern w:val="0"/>
                      <w:szCs w:val="21"/>
                    </w:rPr>
                    <w:t>35</w:t>
                  </w:r>
                </w:p>
              </w:tc>
              <w:tc>
                <w:tcPr>
                  <w:tcW w:w="787" w:type="pct"/>
                  <w:shd w:val="clear" w:color="auto" w:fill="auto"/>
                  <w:vAlign w:val="center"/>
                </w:tcPr>
                <w:p>
                  <w:pPr>
                    <w:widowControl/>
                    <w:jc w:val="center"/>
                    <w:rPr>
                      <w:kern w:val="0"/>
                      <w:szCs w:val="21"/>
                    </w:rPr>
                  </w:pPr>
                  <w:r>
                    <w:rPr>
                      <w:kern w:val="0"/>
                      <w:szCs w:val="21"/>
                    </w:rPr>
                    <w:t>114.4</w:t>
                  </w:r>
                </w:p>
              </w:tc>
              <w:tc>
                <w:tcPr>
                  <w:tcW w:w="635" w:type="pct"/>
                  <w:shd w:val="clear" w:color="auto" w:fill="auto"/>
                  <w:vAlign w:val="center"/>
                </w:tcPr>
                <w:p>
                  <w:pPr>
                    <w:widowControl/>
                    <w:jc w:val="center"/>
                    <w:rPr>
                      <w:kern w:val="0"/>
                      <w:szCs w:val="21"/>
                    </w:rPr>
                  </w:pPr>
                  <w:r>
                    <w:rPr>
                      <w:rFonts w:hint="eastAsia"/>
                      <w:kern w:val="0"/>
                      <w:szCs w:val="21"/>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3" w:type="pct"/>
                  <w:shd w:val="clear" w:color="auto" w:fill="auto"/>
                  <w:vAlign w:val="center"/>
                </w:tcPr>
                <w:p>
                  <w:pPr>
                    <w:widowControl/>
                    <w:jc w:val="center"/>
                    <w:rPr>
                      <w:kern w:val="0"/>
                      <w:szCs w:val="21"/>
                    </w:rPr>
                  </w:pPr>
                  <w:r>
                    <w:rPr>
                      <w:kern w:val="0"/>
                      <w:szCs w:val="21"/>
                    </w:rPr>
                    <w:t>PM</w:t>
                  </w:r>
                  <w:r>
                    <w:rPr>
                      <w:kern w:val="0"/>
                      <w:szCs w:val="21"/>
                      <w:vertAlign w:val="subscript"/>
                    </w:rPr>
                    <w:t>10</w:t>
                  </w:r>
                </w:p>
              </w:tc>
              <w:tc>
                <w:tcPr>
                  <w:tcW w:w="1603" w:type="pct"/>
                  <w:shd w:val="clear" w:color="auto" w:fill="auto"/>
                  <w:vAlign w:val="center"/>
                </w:tcPr>
                <w:p>
                  <w:pPr>
                    <w:widowControl/>
                    <w:jc w:val="center"/>
                    <w:rPr>
                      <w:kern w:val="0"/>
                      <w:szCs w:val="21"/>
                    </w:rPr>
                  </w:pPr>
                  <w:r>
                    <w:rPr>
                      <w:rFonts w:hint="eastAsia"/>
                      <w:kern w:val="0"/>
                      <w:szCs w:val="21"/>
                    </w:rPr>
                    <w:t>年平均质量浓度</w:t>
                  </w:r>
                </w:p>
              </w:tc>
              <w:tc>
                <w:tcPr>
                  <w:tcW w:w="741" w:type="pct"/>
                  <w:shd w:val="clear" w:color="auto" w:fill="auto"/>
                  <w:vAlign w:val="center"/>
                </w:tcPr>
                <w:p>
                  <w:pPr>
                    <w:widowControl/>
                    <w:jc w:val="center"/>
                    <w:rPr>
                      <w:kern w:val="0"/>
                      <w:szCs w:val="21"/>
                    </w:rPr>
                  </w:pPr>
                  <w:r>
                    <w:rPr>
                      <w:kern w:val="0"/>
                      <w:szCs w:val="21"/>
                    </w:rPr>
                    <w:t>75</w:t>
                  </w:r>
                </w:p>
              </w:tc>
              <w:tc>
                <w:tcPr>
                  <w:tcW w:w="721" w:type="pct"/>
                  <w:shd w:val="clear" w:color="auto" w:fill="auto"/>
                  <w:vAlign w:val="center"/>
                </w:tcPr>
                <w:p>
                  <w:pPr>
                    <w:widowControl/>
                    <w:jc w:val="center"/>
                    <w:rPr>
                      <w:kern w:val="0"/>
                      <w:szCs w:val="21"/>
                    </w:rPr>
                  </w:pPr>
                  <w:r>
                    <w:rPr>
                      <w:rFonts w:hint="eastAsia"/>
                      <w:kern w:val="0"/>
                      <w:szCs w:val="21"/>
                    </w:rPr>
                    <w:t>70</w:t>
                  </w:r>
                </w:p>
              </w:tc>
              <w:tc>
                <w:tcPr>
                  <w:tcW w:w="787" w:type="pct"/>
                  <w:shd w:val="clear" w:color="auto" w:fill="auto"/>
                  <w:vAlign w:val="center"/>
                </w:tcPr>
                <w:p>
                  <w:pPr>
                    <w:widowControl/>
                    <w:jc w:val="center"/>
                    <w:rPr>
                      <w:kern w:val="0"/>
                      <w:szCs w:val="21"/>
                    </w:rPr>
                  </w:pPr>
                  <w:r>
                    <w:rPr>
                      <w:kern w:val="0"/>
                      <w:szCs w:val="21"/>
                    </w:rPr>
                    <w:t>107.1</w:t>
                  </w:r>
                </w:p>
              </w:tc>
              <w:tc>
                <w:tcPr>
                  <w:tcW w:w="635" w:type="pct"/>
                  <w:shd w:val="clear" w:color="auto" w:fill="auto"/>
                  <w:vAlign w:val="center"/>
                </w:tcPr>
                <w:p>
                  <w:pPr>
                    <w:widowControl/>
                    <w:jc w:val="center"/>
                    <w:rPr>
                      <w:kern w:val="0"/>
                      <w:szCs w:val="21"/>
                    </w:rPr>
                  </w:pPr>
                  <w:r>
                    <w:rPr>
                      <w:rFonts w:hint="eastAsia"/>
                      <w:kern w:val="0"/>
                      <w:szCs w:val="21"/>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3" w:type="pct"/>
                  <w:shd w:val="clear" w:color="auto" w:fill="auto"/>
                  <w:vAlign w:val="center"/>
                </w:tcPr>
                <w:p>
                  <w:pPr>
                    <w:widowControl/>
                    <w:jc w:val="center"/>
                    <w:rPr>
                      <w:kern w:val="0"/>
                      <w:szCs w:val="21"/>
                    </w:rPr>
                  </w:pPr>
                  <w:r>
                    <w:rPr>
                      <w:kern w:val="0"/>
                      <w:szCs w:val="21"/>
                    </w:rPr>
                    <w:t>SO</w:t>
                  </w:r>
                  <w:r>
                    <w:rPr>
                      <w:kern w:val="0"/>
                      <w:szCs w:val="21"/>
                      <w:vertAlign w:val="subscript"/>
                    </w:rPr>
                    <w:t>2</w:t>
                  </w:r>
                </w:p>
              </w:tc>
              <w:tc>
                <w:tcPr>
                  <w:tcW w:w="1603" w:type="pct"/>
                  <w:shd w:val="clear" w:color="auto" w:fill="auto"/>
                  <w:vAlign w:val="center"/>
                </w:tcPr>
                <w:p>
                  <w:pPr>
                    <w:widowControl/>
                    <w:jc w:val="center"/>
                    <w:rPr>
                      <w:kern w:val="0"/>
                      <w:szCs w:val="21"/>
                    </w:rPr>
                  </w:pPr>
                  <w:r>
                    <w:rPr>
                      <w:rFonts w:hint="eastAsia"/>
                      <w:kern w:val="0"/>
                      <w:szCs w:val="21"/>
                    </w:rPr>
                    <w:t>年平均质量浓度</w:t>
                  </w:r>
                </w:p>
              </w:tc>
              <w:tc>
                <w:tcPr>
                  <w:tcW w:w="741" w:type="pct"/>
                  <w:shd w:val="clear" w:color="auto" w:fill="auto"/>
                  <w:vAlign w:val="center"/>
                </w:tcPr>
                <w:p>
                  <w:pPr>
                    <w:widowControl/>
                    <w:jc w:val="center"/>
                    <w:rPr>
                      <w:kern w:val="0"/>
                      <w:szCs w:val="21"/>
                    </w:rPr>
                  </w:pPr>
                  <w:r>
                    <w:rPr>
                      <w:kern w:val="0"/>
                      <w:szCs w:val="21"/>
                    </w:rPr>
                    <w:t>8</w:t>
                  </w:r>
                </w:p>
              </w:tc>
              <w:tc>
                <w:tcPr>
                  <w:tcW w:w="721" w:type="pct"/>
                  <w:shd w:val="clear" w:color="auto" w:fill="auto"/>
                  <w:vAlign w:val="center"/>
                </w:tcPr>
                <w:p>
                  <w:pPr>
                    <w:widowControl/>
                    <w:jc w:val="center"/>
                    <w:rPr>
                      <w:kern w:val="0"/>
                      <w:szCs w:val="21"/>
                    </w:rPr>
                  </w:pPr>
                  <w:r>
                    <w:rPr>
                      <w:rFonts w:hint="eastAsia"/>
                      <w:kern w:val="0"/>
                      <w:szCs w:val="21"/>
                    </w:rPr>
                    <w:t>60</w:t>
                  </w:r>
                </w:p>
              </w:tc>
              <w:tc>
                <w:tcPr>
                  <w:tcW w:w="787" w:type="pct"/>
                  <w:shd w:val="clear" w:color="auto" w:fill="auto"/>
                  <w:vAlign w:val="center"/>
                </w:tcPr>
                <w:p>
                  <w:pPr>
                    <w:widowControl/>
                    <w:adjustRightInd w:val="0"/>
                    <w:jc w:val="center"/>
                    <w:rPr>
                      <w:kern w:val="0"/>
                      <w:szCs w:val="21"/>
                    </w:rPr>
                  </w:pPr>
                  <w:r>
                    <w:rPr>
                      <w:kern w:val="0"/>
                      <w:szCs w:val="21"/>
                    </w:rPr>
                    <w:t>13.33</w:t>
                  </w:r>
                </w:p>
              </w:tc>
              <w:tc>
                <w:tcPr>
                  <w:tcW w:w="635" w:type="pct"/>
                  <w:shd w:val="clear" w:color="auto" w:fill="auto"/>
                  <w:vAlign w:val="center"/>
                </w:tcPr>
                <w:p>
                  <w:pPr>
                    <w:widowControl/>
                    <w:jc w:val="center"/>
                    <w:rPr>
                      <w:kern w:val="0"/>
                      <w:szCs w:val="21"/>
                    </w:rPr>
                  </w:pPr>
                  <w:r>
                    <w:rPr>
                      <w:rFonts w:hint="eastAsia"/>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3" w:type="pct"/>
                  <w:shd w:val="clear" w:color="auto" w:fill="auto"/>
                  <w:vAlign w:val="center"/>
                </w:tcPr>
                <w:p>
                  <w:pPr>
                    <w:widowControl/>
                    <w:jc w:val="center"/>
                    <w:rPr>
                      <w:kern w:val="0"/>
                      <w:szCs w:val="21"/>
                    </w:rPr>
                  </w:pPr>
                  <w:r>
                    <w:rPr>
                      <w:kern w:val="0"/>
                      <w:szCs w:val="21"/>
                    </w:rPr>
                    <w:t>NO</w:t>
                  </w:r>
                  <w:r>
                    <w:rPr>
                      <w:kern w:val="0"/>
                      <w:szCs w:val="21"/>
                      <w:vertAlign w:val="subscript"/>
                    </w:rPr>
                    <w:t>2</w:t>
                  </w:r>
                </w:p>
              </w:tc>
              <w:tc>
                <w:tcPr>
                  <w:tcW w:w="1603" w:type="pct"/>
                  <w:shd w:val="clear" w:color="auto" w:fill="auto"/>
                  <w:vAlign w:val="center"/>
                </w:tcPr>
                <w:p>
                  <w:pPr>
                    <w:widowControl/>
                    <w:jc w:val="center"/>
                    <w:rPr>
                      <w:kern w:val="0"/>
                      <w:szCs w:val="21"/>
                    </w:rPr>
                  </w:pPr>
                  <w:r>
                    <w:rPr>
                      <w:rFonts w:hint="eastAsia"/>
                      <w:kern w:val="0"/>
                      <w:szCs w:val="21"/>
                    </w:rPr>
                    <w:t>年平均质量浓度</w:t>
                  </w:r>
                </w:p>
              </w:tc>
              <w:tc>
                <w:tcPr>
                  <w:tcW w:w="741" w:type="pct"/>
                  <w:shd w:val="clear" w:color="auto" w:fill="auto"/>
                  <w:vAlign w:val="center"/>
                </w:tcPr>
                <w:p>
                  <w:pPr>
                    <w:widowControl/>
                    <w:jc w:val="center"/>
                    <w:rPr>
                      <w:kern w:val="0"/>
                      <w:szCs w:val="21"/>
                    </w:rPr>
                  </w:pPr>
                  <w:r>
                    <w:rPr>
                      <w:kern w:val="0"/>
                      <w:szCs w:val="21"/>
                    </w:rPr>
                    <w:t>35</w:t>
                  </w:r>
                </w:p>
              </w:tc>
              <w:tc>
                <w:tcPr>
                  <w:tcW w:w="721" w:type="pct"/>
                  <w:shd w:val="clear" w:color="auto" w:fill="auto"/>
                  <w:vAlign w:val="center"/>
                </w:tcPr>
                <w:p>
                  <w:pPr>
                    <w:widowControl/>
                    <w:jc w:val="center"/>
                    <w:rPr>
                      <w:kern w:val="0"/>
                      <w:szCs w:val="21"/>
                    </w:rPr>
                  </w:pPr>
                  <w:r>
                    <w:rPr>
                      <w:rFonts w:hint="eastAsia"/>
                      <w:kern w:val="0"/>
                      <w:szCs w:val="21"/>
                    </w:rPr>
                    <w:t>40</w:t>
                  </w:r>
                </w:p>
              </w:tc>
              <w:tc>
                <w:tcPr>
                  <w:tcW w:w="787" w:type="pct"/>
                  <w:shd w:val="clear" w:color="auto" w:fill="auto"/>
                  <w:vAlign w:val="center"/>
                </w:tcPr>
                <w:p>
                  <w:pPr>
                    <w:widowControl/>
                    <w:adjustRightInd w:val="0"/>
                    <w:jc w:val="center"/>
                    <w:rPr>
                      <w:kern w:val="0"/>
                      <w:szCs w:val="21"/>
                    </w:rPr>
                  </w:pPr>
                  <w:r>
                    <w:rPr>
                      <w:kern w:val="0"/>
                      <w:szCs w:val="21"/>
                    </w:rPr>
                    <w:t>87.5</w:t>
                  </w:r>
                </w:p>
              </w:tc>
              <w:tc>
                <w:tcPr>
                  <w:tcW w:w="635" w:type="pct"/>
                  <w:shd w:val="clear" w:color="auto" w:fill="auto"/>
                  <w:vAlign w:val="center"/>
                </w:tcPr>
                <w:p>
                  <w:pPr>
                    <w:widowControl/>
                    <w:jc w:val="center"/>
                    <w:rPr>
                      <w:kern w:val="0"/>
                      <w:szCs w:val="21"/>
                    </w:rPr>
                  </w:pPr>
                  <w:r>
                    <w:rPr>
                      <w:rFonts w:hint="eastAsia"/>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3" w:type="pct"/>
                  <w:shd w:val="clear" w:color="auto" w:fill="auto"/>
                  <w:vAlign w:val="center"/>
                </w:tcPr>
                <w:p>
                  <w:pPr>
                    <w:widowControl/>
                    <w:jc w:val="center"/>
                    <w:rPr>
                      <w:kern w:val="0"/>
                      <w:szCs w:val="21"/>
                    </w:rPr>
                  </w:pPr>
                  <w:r>
                    <w:rPr>
                      <w:kern w:val="0"/>
                      <w:szCs w:val="21"/>
                    </w:rPr>
                    <w:t>CO</w:t>
                  </w:r>
                </w:p>
              </w:tc>
              <w:tc>
                <w:tcPr>
                  <w:tcW w:w="1603" w:type="pct"/>
                  <w:shd w:val="clear" w:color="auto" w:fill="auto"/>
                  <w:vAlign w:val="center"/>
                </w:tcPr>
                <w:p>
                  <w:pPr>
                    <w:widowControl/>
                    <w:jc w:val="center"/>
                    <w:rPr>
                      <w:kern w:val="0"/>
                      <w:szCs w:val="21"/>
                    </w:rPr>
                  </w:pPr>
                  <w:r>
                    <w:rPr>
                      <w:rFonts w:hint="eastAsia"/>
                      <w:kern w:val="0"/>
                      <w:szCs w:val="21"/>
                    </w:rPr>
                    <w:t>24小时平均第95百分位数</w:t>
                  </w:r>
                </w:p>
              </w:tc>
              <w:tc>
                <w:tcPr>
                  <w:tcW w:w="741" w:type="pct"/>
                  <w:shd w:val="clear" w:color="auto" w:fill="auto"/>
                  <w:vAlign w:val="center"/>
                </w:tcPr>
                <w:p>
                  <w:pPr>
                    <w:widowControl/>
                    <w:jc w:val="center"/>
                    <w:rPr>
                      <w:kern w:val="0"/>
                      <w:szCs w:val="21"/>
                    </w:rPr>
                  </w:pPr>
                  <w:r>
                    <w:rPr>
                      <w:kern w:val="0"/>
                      <w:szCs w:val="21"/>
                    </w:rPr>
                    <w:t>1400</w:t>
                  </w:r>
                </w:p>
              </w:tc>
              <w:tc>
                <w:tcPr>
                  <w:tcW w:w="721" w:type="pct"/>
                  <w:shd w:val="clear" w:color="auto" w:fill="auto"/>
                  <w:vAlign w:val="center"/>
                </w:tcPr>
                <w:p>
                  <w:pPr>
                    <w:widowControl/>
                    <w:jc w:val="center"/>
                    <w:rPr>
                      <w:kern w:val="0"/>
                      <w:szCs w:val="21"/>
                    </w:rPr>
                  </w:pPr>
                  <w:r>
                    <w:rPr>
                      <w:rFonts w:hint="eastAsia"/>
                      <w:kern w:val="0"/>
                      <w:szCs w:val="21"/>
                    </w:rPr>
                    <w:t>4000</w:t>
                  </w:r>
                </w:p>
              </w:tc>
              <w:tc>
                <w:tcPr>
                  <w:tcW w:w="787" w:type="pct"/>
                  <w:shd w:val="clear" w:color="auto" w:fill="auto"/>
                  <w:vAlign w:val="center"/>
                </w:tcPr>
                <w:p>
                  <w:pPr>
                    <w:widowControl/>
                    <w:jc w:val="center"/>
                    <w:rPr>
                      <w:kern w:val="0"/>
                      <w:szCs w:val="21"/>
                    </w:rPr>
                  </w:pPr>
                  <w:r>
                    <w:rPr>
                      <w:kern w:val="0"/>
                      <w:szCs w:val="21"/>
                    </w:rPr>
                    <w:t>35</w:t>
                  </w:r>
                </w:p>
              </w:tc>
              <w:tc>
                <w:tcPr>
                  <w:tcW w:w="635" w:type="pct"/>
                  <w:shd w:val="clear" w:color="auto" w:fill="auto"/>
                  <w:vAlign w:val="center"/>
                </w:tcPr>
                <w:p>
                  <w:pPr>
                    <w:widowControl/>
                    <w:jc w:val="center"/>
                    <w:rPr>
                      <w:kern w:val="0"/>
                      <w:szCs w:val="21"/>
                    </w:rPr>
                  </w:pPr>
                  <w:r>
                    <w:rPr>
                      <w:rFonts w:hint="eastAsia"/>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3" w:type="pct"/>
                  <w:shd w:val="clear" w:color="auto" w:fill="auto"/>
                  <w:vAlign w:val="center"/>
                </w:tcPr>
                <w:p>
                  <w:pPr>
                    <w:widowControl/>
                    <w:jc w:val="center"/>
                    <w:rPr>
                      <w:kern w:val="0"/>
                      <w:szCs w:val="21"/>
                    </w:rPr>
                  </w:pPr>
                  <w:r>
                    <w:rPr>
                      <w:kern w:val="0"/>
                      <w:szCs w:val="21"/>
                    </w:rPr>
                    <w:t>O</w:t>
                  </w:r>
                  <w:r>
                    <w:rPr>
                      <w:kern w:val="0"/>
                      <w:szCs w:val="21"/>
                      <w:vertAlign w:val="subscript"/>
                    </w:rPr>
                    <w:t>3</w:t>
                  </w:r>
                </w:p>
              </w:tc>
              <w:tc>
                <w:tcPr>
                  <w:tcW w:w="1603" w:type="pct"/>
                  <w:shd w:val="clear" w:color="auto" w:fill="auto"/>
                  <w:vAlign w:val="center"/>
                </w:tcPr>
                <w:p>
                  <w:pPr>
                    <w:widowControl/>
                    <w:jc w:val="center"/>
                    <w:rPr>
                      <w:kern w:val="0"/>
                      <w:szCs w:val="21"/>
                    </w:rPr>
                  </w:pPr>
                  <w:r>
                    <w:rPr>
                      <w:rFonts w:hint="eastAsia"/>
                      <w:kern w:val="0"/>
                      <w:szCs w:val="21"/>
                    </w:rPr>
                    <w:t>8小时平均第90百分位数</w:t>
                  </w:r>
                </w:p>
              </w:tc>
              <w:tc>
                <w:tcPr>
                  <w:tcW w:w="741" w:type="pct"/>
                  <w:shd w:val="clear" w:color="auto" w:fill="auto"/>
                  <w:vAlign w:val="center"/>
                </w:tcPr>
                <w:p>
                  <w:pPr>
                    <w:widowControl/>
                    <w:jc w:val="center"/>
                    <w:rPr>
                      <w:kern w:val="0"/>
                      <w:szCs w:val="21"/>
                    </w:rPr>
                  </w:pPr>
                  <w:r>
                    <w:rPr>
                      <w:kern w:val="0"/>
                      <w:szCs w:val="21"/>
                    </w:rPr>
                    <w:t>157</w:t>
                  </w:r>
                </w:p>
              </w:tc>
              <w:tc>
                <w:tcPr>
                  <w:tcW w:w="721" w:type="pct"/>
                  <w:shd w:val="clear" w:color="auto" w:fill="auto"/>
                  <w:vAlign w:val="center"/>
                </w:tcPr>
                <w:p>
                  <w:pPr>
                    <w:widowControl/>
                    <w:jc w:val="center"/>
                    <w:rPr>
                      <w:kern w:val="0"/>
                      <w:szCs w:val="21"/>
                    </w:rPr>
                  </w:pPr>
                  <w:r>
                    <w:rPr>
                      <w:rFonts w:hint="eastAsia"/>
                      <w:kern w:val="0"/>
                      <w:szCs w:val="21"/>
                    </w:rPr>
                    <w:t>160</w:t>
                  </w:r>
                </w:p>
              </w:tc>
              <w:tc>
                <w:tcPr>
                  <w:tcW w:w="787" w:type="pct"/>
                  <w:shd w:val="clear" w:color="auto" w:fill="auto"/>
                  <w:vAlign w:val="center"/>
                </w:tcPr>
                <w:p>
                  <w:pPr>
                    <w:widowControl/>
                    <w:jc w:val="center"/>
                    <w:rPr>
                      <w:kern w:val="0"/>
                      <w:szCs w:val="21"/>
                    </w:rPr>
                  </w:pPr>
                  <w:r>
                    <w:rPr>
                      <w:kern w:val="0"/>
                      <w:szCs w:val="21"/>
                    </w:rPr>
                    <w:t>87.1</w:t>
                  </w:r>
                </w:p>
              </w:tc>
              <w:tc>
                <w:tcPr>
                  <w:tcW w:w="635" w:type="pct"/>
                  <w:shd w:val="clear" w:color="auto" w:fill="auto"/>
                  <w:vAlign w:val="center"/>
                </w:tcPr>
                <w:p>
                  <w:pPr>
                    <w:widowControl/>
                    <w:jc w:val="center"/>
                    <w:rPr>
                      <w:kern w:val="0"/>
                      <w:szCs w:val="21"/>
                    </w:rPr>
                  </w:pPr>
                  <w:r>
                    <w:rPr>
                      <w:rFonts w:hint="eastAsia"/>
                      <w:kern w:val="0"/>
                      <w:szCs w:val="21"/>
                    </w:rPr>
                    <w:t>达标</w:t>
                  </w:r>
                </w:p>
              </w:tc>
            </w:tr>
          </w:tbl>
          <w:p>
            <w:pPr>
              <w:widowControl/>
              <w:autoSpaceDE w:val="0"/>
              <w:autoSpaceDN w:val="0"/>
              <w:spacing w:before="120" w:beforeLines="50" w:line="360" w:lineRule="auto"/>
              <w:ind w:firstLine="480" w:firstLineChars="200"/>
              <w:jc w:val="left"/>
              <w:rPr>
                <w:rFonts w:ascii="宋体" w:hAnsi="宋体"/>
                <w:kern w:val="0"/>
                <w:sz w:val="24"/>
              </w:rPr>
            </w:pPr>
            <w:r>
              <w:rPr>
                <w:rFonts w:ascii="宋体" w:hAnsi="宋体"/>
                <w:kern w:val="0"/>
                <w:sz w:val="24"/>
              </w:rPr>
              <w:t>由上表可</w:t>
            </w:r>
            <w:r>
              <w:rPr>
                <w:rFonts w:hint="eastAsia" w:ascii="宋体" w:hAnsi="宋体"/>
                <w:kern w:val="0"/>
                <w:sz w:val="24"/>
              </w:rPr>
              <w:t>知</w:t>
            </w:r>
            <w:r>
              <w:rPr>
                <w:rFonts w:ascii="宋体" w:hAnsi="宋体"/>
                <w:kern w:val="0"/>
                <w:sz w:val="24"/>
              </w:rPr>
              <w:t>，</w:t>
            </w:r>
            <w:r>
              <w:rPr>
                <w:rFonts w:hint="eastAsia" w:ascii="宋体" w:hAnsi="宋体"/>
                <w:kern w:val="0"/>
                <w:sz w:val="24"/>
              </w:rPr>
              <w:t>评价区域</w:t>
            </w:r>
            <w:r>
              <w:rPr>
                <w:sz w:val="24"/>
              </w:rPr>
              <w:t>SO</w:t>
            </w:r>
            <w:r>
              <w:rPr>
                <w:sz w:val="24"/>
                <w:vertAlign w:val="subscript"/>
              </w:rPr>
              <w:t>2</w:t>
            </w:r>
            <w:r>
              <w:rPr>
                <w:rFonts w:hint="eastAsia"/>
                <w:kern w:val="0"/>
                <w:sz w:val="24"/>
                <w:szCs w:val="22"/>
              </w:rPr>
              <w:t>、</w:t>
            </w:r>
            <w:r>
              <w:rPr>
                <w:kern w:val="0"/>
                <w:sz w:val="24"/>
                <w:szCs w:val="22"/>
              </w:rPr>
              <w:t>NO</w:t>
            </w:r>
            <w:r>
              <w:rPr>
                <w:kern w:val="0"/>
                <w:sz w:val="24"/>
                <w:szCs w:val="22"/>
                <w:vertAlign w:val="subscript"/>
              </w:rPr>
              <w:t>2</w:t>
            </w:r>
            <w:r>
              <w:rPr>
                <w:sz w:val="24"/>
              </w:rPr>
              <w:t>年平均质量浓度、CO 24小时平均浓度、O</w:t>
            </w:r>
            <w:r>
              <w:rPr>
                <w:sz w:val="24"/>
                <w:vertAlign w:val="subscript"/>
              </w:rPr>
              <w:t xml:space="preserve">3 </w:t>
            </w:r>
            <w:r>
              <w:rPr>
                <w:sz w:val="24"/>
              </w:rPr>
              <w:t>8小时平均浓度</w:t>
            </w:r>
            <w:r>
              <w:rPr>
                <w:rFonts w:ascii="宋体" w:hAnsi="宋体"/>
                <w:kern w:val="0"/>
                <w:sz w:val="24"/>
              </w:rPr>
              <w:t>满足《环境空气质量标准》</w:t>
            </w:r>
            <w:r>
              <w:rPr>
                <w:kern w:val="0"/>
                <w:sz w:val="24"/>
              </w:rPr>
              <w:t>（GB3095-2012）</w:t>
            </w:r>
            <w:r>
              <w:rPr>
                <w:rFonts w:ascii="宋体" w:hAnsi="宋体"/>
                <w:kern w:val="0"/>
                <w:sz w:val="24"/>
              </w:rPr>
              <w:t>及其修改单</w:t>
            </w:r>
            <w:r>
              <w:rPr>
                <w:kern w:val="0"/>
                <w:sz w:val="24"/>
              </w:rPr>
              <w:t>（2018年8月13日）</w:t>
            </w:r>
            <w:r>
              <w:rPr>
                <w:rFonts w:hint="eastAsia" w:ascii="宋体" w:hAnsi="宋体"/>
                <w:kern w:val="0"/>
                <w:sz w:val="24"/>
              </w:rPr>
              <w:t>中</w:t>
            </w:r>
            <w:r>
              <w:rPr>
                <w:rFonts w:ascii="宋体" w:hAnsi="宋体"/>
                <w:kern w:val="0"/>
                <w:sz w:val="24"/>
              </w:rPr>
              <w:t>二级标准要求，</w:t>
            </w:r>
            <w:r>
              <w:rPr>
                <w:kern w:val="0"/>
                <w:sz w:val="24"/>
                <w:szCs w:val="22"/>
              </w:rPr>
              <w:t>PM</w:t>
            </w:r>
            <w:r>
              <w:rPr>
                <w:kern w:val="0"/>
                <w:sz w:val="24"/>
                <w:szCs w:val="22"/>
                <w:vertAlign w:val="subscript"/>
              </w:rPr>
              <w:t>10</w:t>
            </w:r>
            <w:r>
              <w:rPr>
                <w:kern w:val="0"/>
                <w:sz w:val="24"/>
                <w:szCs w:val="22"/>
              </w:rPr>
              <w:t>、PM</w:t>
            </w:r>
            <w:r>
              <w:rPr>
                <w:kern w:val="0"/>
                <w:sz w:val="24"/>
                <w:szCs w:val="22"/>
                <w:vertAlign w:val="subscript"/>
              </w:rPr>
              <w:t>2.5</w:t>
            </w:r>
            <w:r>
              <w:rPr>
                <w:rFonts w:hint="eastAsia" w:ascii="宋体" w:hAnsi="宋体"/>
                <w:kern w:val="0"/>
                <w:sz w:val="24"/>
              </w:rPr>
              <w:t>年</w:t>
            </w:r>
            <w:r>
              <w:rPr>
                <w:rFonts w:ascii="宋体" w:hAnsi="宋体"/>
                <w:kern w:val="0"/>
                <w:sz w:val="24"/>
              </w:rPr>
              <w:t>平均</w:t>
            </w:r>
            <w:r>
              <w:rPr>
                <w:rFonts w:hint="eastAsia" w:ascii="宋体" w:hAnsi="宋体"/>
                <w:kern w:val="0"/>
                <w:sz w:val="24"/>
              </w:rPr>
              <w:t>质量</w:t>
            </w:r>
            <w:r>
              <w:rPr>
                <w:rFonts w:ascii="宋体" w:hAnsi="宋体"/>
                <w:kern w:val="0"/>
                <w:sz w:val="24"/>
              </w:rPr>
              <w:t>浓度超</w:t>
            </w:r>
            <w:r>
              <w:rPr>
                <w:rFonts w:hint="eastAsia" w:ascii="宋体" w:hAnsi="宋体"/>
                <w:kern w:val="0"/>
                <w:sz w:val="24"/>
              </w:rPr>
              <w:t>过</w:t>
            </w:r>
            <w:r>
              <w:rPr>
                <w:rFonts w:ascii="宋体" w:hAnsi="宋体"/>
                <w:kern w:val="0"/>
                <w:sz w:val="24"/>
              </w:rPr>
              <w:t>《环境空气质量标准》</w:t>
            </w:r>
            <w:r>
              <w:rPr>
                <w:kern w:val="0"/>
                <w:sz w:val="24"/>
              </w:rPr>
              <w:t>（GB3095-2012）</w:t>
            </w:r>
            <w:r>
              <w:rPr>
                <w:rFonts w:ascii="宋体" w:hAnsi="宋体"/>
                <w:kern w:val="0"/>
                <w:sz w:val="24"/>
              </w:rPr>
              <w:t>及其修改单</w:t>
            </w:r>
            <w:r>
              <w:rPr>
                <w:kern w:val="0"/>
                <w:sz w:val="24"/>
              </w:rPr>
              <w:t>（2018年8月13日</w:t>
            </w:r>
            <w:r>
              <w:rPr>
                <w:rFonts w:ascii="宋体" w:hAnsi="宋体"/>
                <w:kern w:val="0"/>
                <w:sz w:val="24"/>
              </w:rPr>
              <w:t>）</w:t>
            </w:r>
            <w:r>
              <w:rPr>
                <w:rFonts w:hint="eastAsia" w:ascii="宋体" w:hAnsi="宋体"/>
                <w:kern w:val="0"/>
                <w:sz w:val="24"/>
              </w:rPr>
              <w:t>中</w:t>
            </w:r>
            <w:r>
              <w:rPr>
                <w:rFonts w:ascii="宋体" w:hAnsi="宋体"/>
                <w:kern w:val="0"/>
                <w:sz w:val="24"/>
              </w:rPr>
              <w:t>二级标准要求</w:t>
            </w:r>
            <w:bookmarkStart w:id="7" w:name="3.4.2_声环境质量"/>
            <w:bookmarkEnd w:id="7"/>
            <w:bookmarkStart w:id="8" w:name="3.4.3_地表水环境质量"/>
            <w:bookmarkEnd w:id="8"/>
            <w:r>
              <w:rPr>
                <w:rFonts w:hint="eastAsia" w:ascii="宋体" w:hAnsi="宋体"/>
                <w:kern w:val="0"/>
                <w:sz w:val="24"/>
              </w:rPr>
              <w:t>，故本项目所在区域属于不达标区。</w:t>
            </w:r>
          </w:p>
          <w:p>
            <w:pPr>
              <w:tabs>
                <w:tab w:val="left" w:pos="1677"/>
              </w:tabs>
              <w:spacing w:line="360" w:lineRule="auto"/>
              <w:rPr>
                <w:b/>
                <w:kern w:val="28"/>
                <w:sz w:val="24"/>
              </w:rPr>
            </w:pPr>
            <w:r>
              <w:rPr>
                <w:b/>
                <w:kern w:val="28"/>
                <w:sz w:val="24"/>
              </w:rPr>
              <w:t>3.2声环境质量现状</w:t>
            </w:r>
          </w:p>
          <w:p>
            <w:pPr>
              <w:tabs>
                <w:tab w:val="left" w:pos="1677"/>
              </w:tabs>
              <w:spacing w:line="360" w:lineRule="auto"/>
              <w:ind w:firstLine="480" w:firstLineChars="200"/>
              <w:rPr>
                <w:b/>
                <w:kern w:val="28"/>
                <w:sz w:val="24"/>
              </w:rPr>
            </w:pPr>
            <w:r>
              <w:rPr>
                <w:bCs/>
                <w:kern w:val="28"/>
                <w:sz w:val="24"/>
              </w:rPr>
              <w:t>本项目附近无声环境保护目标，无需进行现状监测。</w:t>
            </w:r>
          </w:p>
          <w:p>
            <w:pPr>
              <w:spacing w:line="360" w:lineRule="auto"/>
              <w:rPr>
                <w:b/>
                <w:snapToGrid w:val="0"/>
                <w:kern w:val="0"/>
                <w:sz w:val="24"/>
              </w:rPr>
            </w:pPr>
            <w:r>
              <w:rPr>
                <w:b/>
                <w:snapToGrid w:val="0"/>
                <w:kern w:val="0"/>
                <w:sz w:val="24"/>
              </w:rPr>
              <w:t>3.3</w:t>
            </w:r>
            <w:r>
              <w:rPr>
                <w:b/>
                <w:snapToGrid w:val="0"/>
                <w:kern w:val="0"/>
                <w:sz w:val="24"/>
                <w:lang w:val="en-GB"/>
              </w:rPr>
              <w:t>地下水、土壤环境</w:t>
            </w:r>
            <w:r>
              <w:rPr>
                <w:b/>
                <w:snapToGrid w:val="0"/>
                <w:kern w:val="0"/>
                <w:sz w:val="24"/>
              </w:rPr>
              <w:t>质量现状</w:t>
            </w:r>
          </w:p>
          <w:p>
            <w:pPr>
              <w:pStyle w:val="44"/>
              <w:spacing w:line="360" w:lineRule="auto"/>
              <w:ind w:firstLine="480" w:firstLineChars="200"/>
              <w:rPr>
                <w:rFonts w:ascii="Times New Roman" w:cs="Times New Roman"/>
                <w:color w:val="auto"/>
                <w:kern w:val="0"/>
              </w:rPr>
            </w:pPr>
            <w:r>
              <w:rPr>
                <w:rFonts w:ascii="Times New Roman" w:cs="Times New Roman"/>
                <w:b w:val="0"/>
                <w:color w:val="auto"/>
              </w:rPr>
              <w:t>本项目污水处理系统构筑物均进行防腐防渗处理，危废暂存箱进行防渗处理并用容器对危废进行盛装。因此，基本上不存在污染途径，因此本次评价不对地下水、土壤环境进行现状调查。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77" w:hRule="atLeast"/>
          <w:jc w:val="center"/>
        </w:trPr>
        <w:tc>
          <w:tcPr>
            <w:tcW w:w="827" w:type="dxa"/>
            <w:vAlign w:val="center"/>
          </w:tcPr>
          <w:p>
            <w:pPr>
              <w:adjustRightInd w:val="0"/>
              <w:snapToGrid w:val="0"/>
              <w:jc w:val="center"/>
              <w:rPr>
                <w:kern w:val="0"/>
                <w:sz w:val="24"/>
              </w:rPr>
            </w:pPr>
            <w:r>
              <w:rPr>
                <w:kern w:val="0"/>
                <w:sz w:val="24"/>
              </w:rPr>
              <w:t>环境</w:t>
            </w:r>
          </w:p>
          <w:p>
            <w:pPr>
              <w:adjustRightInd w:val="0"/>
              <w:snapToGrid w:val="0"/>
              <w:jc w:val="center"/>
              <w:rPr>
                <w:kern w:val="0"/>
                <w:sz w:val="24"/>
              </w:rPr>
            </w:pPr>
            <w:r>
              <w:rPr>
                <w:kern w:val="0"/>
                <w:sz w:val="24"/>
              </w:rPr>
              <w:t>保护</w:t>
            </w:r>
          </w:p>
          <w:p>
            <w:pPr>
              <w:adjustRightInd w:val="0"/>
              <w:snapToGrid w:val="0"/>
              <w:jc w:val="center"/>
              <w:rPr>
                <w:kern w:val="0"/>
                <w:sz w:val="24"/>
              </w:rPr>
            </w:pPr>
            <w:r>
              <w:rPr>
                <w:kern w:val="0"/>
                <w:sz w:val="24"/>
              </w:rPr>
              <w:t>目标</w:t>
            </w:r>
          </w:p>
        </w:tc>
        <w:tc>
          <w:tcPr>
            <w:tcW w:w="8462" w:type="dxa"/>
          </w:tcPr>
          <w:p>
            <w:pPr>
              <w:spacing w:line="360" w:lineRule="auto"/>
              <w:rPr>
                <w:b/>
                <w:snapToGrid w:val="0"/>
                <w:kern w:val="0"/>
                <w:sz w:val="24"/>
              </w:rPr>
            </w:pPr>
            <w:r>
              <w:rPr>
                <w:b/>
                <w:snapToGrid w:val="0"/>
                <w:kern w:val="0"/>
                <w:sz w:val="24"/>
              </w:rPr>
              <w:t>3.4</w:t>
            </w:r>
            <w:r>
              <w:rPr>
                <w:rFonts w:hint="eastAsia"/>
                <w:b/>
                <w:snapToGrid w:val="0"/>
                <w:kern w:val="0"/>
                <w:sz w:val="24"/>
                <w:lang w:val="en-GB"/>
              </w:rPr>
              <w:t>环境保护目标</w:t>
            </w:r>
          </w:p>
          <w:p>
            <w:pPr>
              <w:widowControl/>
              <w:tabs>
                <w:tab w:val="left" w:pos="930"/>
              </w:tabs>
              <w:adjustRightInd w:val="0"/>
              <w:snapToGrid w:val="0"/>
              <w:spacing w:line="360" w:lineRule="auto"/>
              <w:ind w:firstLine="480" w:firstLineChars="200"/>
              <w:jc w:val="left"/>
              <w:rPr>
                <w:iCs/>
                <w:color w:val="000000"/>
                <w:kern w:val="0"/>
                <w:sz w:val="24"/>
              </w:rPr>
            </w:pPr>
            <w:r>
              <w:rPr>
                <w:iCs/>
                <w:color w:val="000000"/>
                <w:kern w:val="0"/>
                <w:sz w:val="24"/>
              </w:rPr>
              <w:t>本项目</w:t>
            </w:r>
            <w:r>
              <w:rPr>
                <w:rFonts w:hint="eastAsia"/>
                <w:color w:val="000000"/>
                <w:kern w:val="0"/>
                <w:sz w:val="24"/>
              </w:rPr>
              <w:t>位于</w:t>
            </w:r>
            <w:r>
              <w:rPr>
                <w:sz w:val="24"/>
              </w:rPr>
              <w:t>陕西省</w:t>
            </w:r>
            <w:r>
              <w:rPr>
                <w:rFonts w:hint="eastAsia"/>
                <w:sz w:val="24"/>
              </w:rPr>
              <w:t>西安市灞桥区灞桥街</w:t>
            </w:r>
            <w:r>
              <w:rPr>
                <w:rFonts w:hint="eastAsia"/>
                <w:sz w:val="24"/>
                <w:lang w:val="en-US" w:eastAsia="zh-CN"/>
              </w:rPr>
              <w:t>道</w:t>
            </w:r>
            <w:r>
              <w:rPr>
                <w:rFonts w:hint="eastAsia"/>
                <w:sz w:val="24"/>
                <w:lang w:eastAsia="zh-CN"/>
              </w:rPr>
              <w:t>歇驾寺村</w:t>
            </w:r>
            <w:r>
              <w:rPr>
                <w:rFonts w:hint="eastAsia"/>
                <w:sz w:val="24"/>
              </w:rPr>
              <w:t>6号</w:t>
            </w:r>
            <w:r>
              <w:rPr>
                <w:iCs/>
                <w:color w:val="000000"/>
                <w:kern w:val="0"/>
                <w:sz w:val="24"/>
              </w:rPr>
              <w:t>。根据现场调查，项目周围500m范围内无自然保护区、风景名胜区、水源保护区等环境敏感点，项目厂界500m范围内</w:t>
            </w:r>
            <w:r>
              <w:rPr>
                <w:rFonts w:hint="eastAsia"/>
                <w:iCs/>
                <w:color w:val="000000"/>
                <w:kern w:val="0"/>
                <w:sz w:val="24"/>
              </w:rPr>
              <w:t>大气环境保护目标见</w:t>
            </w:r>
            <w:r>
              <w:rPr>
                <w:iCs/>
                <w:color w:val="000000"/>
                <w:kern w:val="0"/>
                <w:sz w:val="24"/>
              </w:rPr>
              <w:t>表 3-2；项目厂界 50m 范围内无声环境保护目标</w:t>
            </w:r>
            <w:r>
              <w:rPr>
                <w:rFonts w:hint="eastAsia"/>
                <w:iCs/>
                <w:color w:val="000000"/>
                <w:kern w:val="0"/>
                <w:sz w:val="24"/>
              </w:rPr>
              <w:t>。</w:t>
            </w:r>
            <w:r>
              <w:rPr>
                <w:iCs/>
                <w:color w:val="000000"/>
                <w:kern w:val="0"/>
                <w:sz w:val="24"/>
              </w:rPr>
              <w:t>以本项目中心为参照点，项目周边主要环境保护目标</w:t>
            </w:r>
            <w:r>
              <w:rPr>
                <w:rFonts w:hint="eastAsia"/>
                <w:iCs/>
                <w:color w:val="000000"/>
                <w:kern w:val="0"/>
                <w:sz w:val="24"/>
              </w:rPr>
              <w:t>见</w:t>
            </w:r>
            <w:r>
              <w:rPr>
                <w:iCs/>
                <w:color w:val="000000"/>
                <w:kern w:val="0"/>
                <w:sz w:val="24"/>
              </w:rPr>
              <w:t>下表所示。</w:t>
            </w:r>
          </w:p>
          <w:p>
            <w:pPr>
              <w:spacing w:before="120" w:beforeLines="50" w:line="360" w:lineRule="auto"/>
              <w:jc w:val="center"/>
              <w:rPr>
                <w:b/>
                <w:bCs/>
                <w:color w:val="000000"/>
                <w:kern w:val="0"/>
                <w:szCs w:val="21"/>
              </w:rPr>
            </w:pPr>
            <w:r>
              <w:rPr>
                <w:b/>
                <w:bCs/>
                <w:color w:val="000000"/>
                <w:kern w:val="0"/>
                <w:szCs w:val="21"/>
              </w:rPr>
              <w:t>表3-2 项目环境保护目标</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881"/>
              <w:gridCol w:w="807"/>
              <w:gridCol w:w="950"/>
              <w:gridCol w:w="731"/>
              <w:gridCol w:w="1319"/>
              <w:gridCol w:w="880"/>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pct"/>
                  <w:vMerge w:val="restart"/>
                  <w:tcBorders>
                    <w:tl2br w:val="nil"/>
                    <w:tr2bl w:val="nil"/>
                  </w:tcBorders>
                  <w:shd w:val="clear" w:color="auto" w:fill="auto"/>
                  <w:vAlign w:val="center"/>
                </w:tcPr>
                <w:p>
                  <w:pPr>
                    <w:widowControl/>
                    <w:adjustRightInd w:val="0"/>
                    <w:snapToGrid w:val="0"/>
                    <w:jc w:val="center"/>
                    <w:rPr>
                      <w:color w:val="000000"/>
                      <w:kern w:val="0"/>
                      <w:szCs w:val="21"/>
                    </w:rPr>
                  </w:pPr>
                  <w:r>
                    <w:rPr>
                      <w:color w:val="000000"/>
                      <w:kern w:val="0"/>
                      <w:szCs w:val="21"/>
                    </w:rPr>
                    <w:t>名称</w:t>
                  </w:r>
                </w:p>
              </w:tc>
              <w:tc>
                <w:tcPr>
                  <w:tcW w:w="1024" w:type="pct"/>
                  <w:gridSpan w:val="2"/>
                  <w:tcBorders>
                    <w:tl2br w:val="nil"/>
                    <w:tr2bl w:val="nil"/>
                  </w:tcBorders>
                  <w:shd w:val="clear" w:color="auto" w:fill="auto"/>
                  <w:vAlign w:val="center"/>
                </w:tcPr>
                <w:p>
                  <w:pPr>
                    <w:widowControl/>
                    <w:jc w:val="center"/>
                    <w:rPr>
                      <w:color w:val="000000"/>
                      <w:kern w:val="0"/>
                      <w:szCs w:val="21"/>
                    </w:rPr>
                  </w:pPr>
                  <w:r>
                    <w:rPr>
                      <w:color w:val="000000"/>
                      <w:kern w:val="0"/>
                      <w:szCs w:val="21"/>
                    </w:rPr>
                    <w:t>坐标</w:t>
                  </w:r>
                </w:p>
              </w:tc>
              <w:tc>
                <w:tcPr>
                  <w:tcW w:w="577" w:type="pct"/>
                  <w:vMerge w:val="restart"/>
                  <w:tcBorders>
                    <w:tl2br w:val="nil"/>
                    <w:tr2bl w:val="nil"/>
                  </w:tcBorders>
                  <w:shd w:val="clear" w:color="auto" w:fill="auto"/>
                  <w:vAlign w:val="center"/>
                </w:tcPr>
                <w:p>
                  <w:pPr>
                    <w:widowControl/>
                    <w:jc w:val="center"/>
                    <w:rPr>
                      <w:color w:val="000000"/>
                      <w:kern w:val="0"/>
                      <w:szCs w:val="21"/>
                    </w:rPr>
                  </w:pPr>
                  <w:r>
                    <w:rPr>
                      <w:color w:val="000000"/>
                      <w:kern w:val="0"/>
                      <w:szCs w:val="21"/>
                    </w:rPr>
                    <w:t>保护</w:t>
                  </w:r>
                </w:p>
                <w:p>
                  <w:pPr>
                    <w:widowControl/>
                    <w:jc w:val="center"/>
                    <w:rPr>
                      <w:color w:val="000000"/>
                      <w:kern w:val="0"/>
                      <w:szCs w:val="21"/>
                    </w:rPr>
                  </w:pPr>
                  <w:r>
                    <w:rPr>
                      <w:color w:val="000000"/>
                      <w:kern w:val="0"/>
                      <w:szCs w:val="21"/>
                    </w:rPr>
                    <w:t>对象</w:t>
                  </w:r>
                </w:p>
              </w:tc>
              <w:tc>
                <w:tcPr>
                  <w:tcW w:w="444" w:type="pct"/>
                  <w:vMerge w:val="restart"/>
                  <w:tcBorders>
                    <w:tl2br w:val="nil"/>
                    <w:tr2bl w:val="nil"/>
                  </w:tcBorders>
                  <w:shd w:val="clear" w:color="auto" w:fill="auto"/>
                  <w:vAlign w:val="center"/>
                </w:tcPr>
                <w:p>
                  <w:pPr>
                    <w:widowControl/>
                    <w:jc w:val="center"/>
                    <w:rPr>
                      <w:color w:val="000000"/>
                      <w:kern w:val="0"/>
                      <w:szCs w:val="21"/>
                    </w:rPr>
                  </w:pPr>
                  <w:r>
                    <w:rPr>
                      <w:color w:val="000000"/>
                      <w:kern w:val="0"/>
                      <w:szCs w:val="21"/>
                    </w:rPr>
                    <w:t>保护内容</w:t>
                  </w:r>
                </w:p>
              </w:tc>
              <w:tc>
                <w:tcPr>
                  <w:tcW w:w="800" w:type="pct"/>
                  <w:vMerge w:val="restart"/>
                  <w:tcBorders>
                    <w:tl2br w:val="nil"/>
                    <w:tr2bl w:val="nil"/>
                  </w:tcBorders>
                  <w:shd w:val="clear" w:color="auto" w:fill="auto"/>
                  <w:vAlign w:val="center"/>
                </w:tcPr>
                <w:p>
                  <w:pPr>
                    <w:widowControl/>
                    <w:jc w:val="center"/>
                    <w:rPr>
                      <w:color w:val="000000"/>
                      <w:kern w:val="0"/>
                      <w:szCs w:val="21"/>
                    </w:rPr>
                  </w:pPr>
                  <w:r>
                    <w:rPr>
                      <w:color w:val="000000"/>
                      <w:kern w:val="0"/>
                      <w:szCs w:val="21"/>
                    </w:rPr>
                    <w:t>环境功能区</w:t>
                  </w:r>
                </w:p>
              </w:tc>
              <w:tc>
                <w:tcPr>
                  <w:tcW w:w="534" w:type="pct"/>
                  <w:vMerge w:val="restart"/>
                  <w:tcBorders>
                    <w:tl2br w:val="nil"/>
                    <w:tr2bl w:val="nil"/>
                  </w:tcBorders>
                  <w:vAlign w:val="center"/>
                </w:tcPr>
                <w:p>
                  <w:pPr>
                    <w:widowControl/>
                    <w:adjustRightInd w:val="0"/>
                    <w:snapToGrid w:val="0"/>
                    <w:jc w:val="center"/>
                    <w:rPr>
                      <w:color w:val="000000"/>
                      <w:kern w:val="0"/>
                      <w:szCs w:val="21"/>
                    </w:rPr>
                  </w:pPr>
                  <w:r>
                    <w:rPr>
                      <w:color w:val="000000"/>
                      <w:kern w:val="0"/>
                      <w:szCs w:val="21"/>
                    </w:rPr>
                    <w:t>相对厂址方位</w:t>
                  </w:r>
                </w:p>
              </w:tc>
              <w:tc>
                <w:tcPr>
                  <w:tcW w:w="625" w:type="pct"/>
                  <w:vMerge w:val="restart"/>
                  <w:tcBorders>
                    <w:tl2br w:val="nil"/>
                    <w:tr2bl w:val="nil"/>
                  </w:tcBorders>
                  <w:vAlign w:val="center"/>
                </w:tcPr>
                <w:p>
                  <w:pPr>
                    <w:widowControl/>
                    <w:adjustRightInd w:val="0"/>
                    <w:snapToGrid w:val="0"/>
                    <w:jc w:val="center"/>
                    <w:rPr>
                      <w:color w:val="000000"/>
                      <w:kern w:val="0"/>
                      <w:szCs w:val="21"/>
                    </w:rPr>
                  </w:pPr>
                  <w:r>
                    <w:rPr>
                      <w:color w:val="000000"/>
                      <w:kern w:val="0"/>
                      <w:szCs w:val="21"/>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pct"/>
                  <w:vMerge w:val="continue"/>
                  <w:tcBorders>
                    <w:tl2br w:val="nil"/>
                    <w:tr2bl w:val="nil"/>
                  </w:tcBorders>
                  <w:shd w:val="clear" w:color="auto" w:fill="auto"/>
                  <w:vAlign w:val="center"/>
                </w:tcPr>
                <w:p>
                  <w:pPr>
                    <w:widowControl/>
                    <w:adjustRightInd w:val="0"/>
                    <w:snapToGrid w:val="0"/>
                    <w:jc w:val="center"/>
                    <w:rPr>
                      <w:color w:val="000000"/>
                      <w:kern w:val="0"/>
                      <w:szCs w:val="21"/>
                    </w:rPr>
                  </w:pPr>
                </w:p>
              </w:tc>
              <w:tc>
                <w:tcPr>
                  <w:tcW w:w="534" w:type="pct"/>
                  <w:tcBorders>
                    <w:tl2br w:val="nil"/>
                    <w:tr2bl w:val="nil"/>
                  </w:tcBorders>
                  <w:shd w:val="clear" w:color="auto" w:fill="auto"/>
                  <w:vAlign w:val="center"/>
                </w:tcPr>
                <w:p>
                  <w:pPr>
                    <w:widowControl/>
                    <w:jc w:val="center"/>
                    <w:rPr>
                      <w:color w:val="000000"/>
                      <w:kern w:val="0"/>
                      <w:szCs w:val="21"/>
                    </w:rPr>
                  </w:pPr>
                  <w:r>
                    <w:rPr>
                      <w:color w:val="000000"/>
                      <w:kern w:val="0"/>
                      <w:szCs w:val="21"/>
                    </w:rPr>
                    <w:t>X</w:t>
                  </w:r>
                </w:p>
              </w:tc>
              <w:tc>
                <w:tcPr>
                  <w:tcW w:w="489" w:type="pct"/>
                  <w:tcBorders>
                    <w:tl2br w:val="nil"/>
                    <w:tr2bl w:val="nil"/>
                  </w:tcBorders>
                  <w:shd w:val="clear" w:color="auto" w:fill="auto"/>
                  <w:vAlign w:val="center"/>
                </w:tcPr>
                <w:p>
                  <w:pPr>
                    <w:widowControl/>
                    <w:jc w:val="center"/>
                    <w:rPr>
                      <w:color w:val="000000"/>
                      <w:kern w:val="0"/>
                      <w:szCs w:val="21"/>
                    </w:rPr>
                  </w:pPr>
                  <w:r>
                    <w:rPr>
                      <w:color w:val="000000"/>
                      <w:kern w:val="0"/>
                      <w:szCs w:val="21"/>
                    </w:rPr>
                    <w:t>Y</w:t>
                  </w:r>
                </w:p>
              </w:tc>
              <w:tc>
                <w:tcPr>
                  <w:tcW w:w="577" w:type="pct"/>
                  <w:vMerge w:val="continue"/>
                  <w:tcBorders>
                    <w:tl2br w:val="nil"/>
                    <w:tr2bl w:val="nil"/>
                  </w:tcBorders>
                  <w:shd w:val="clear" w:color="auto" w:fill="auto"/>
                  <w:vAlign w:val="center"/>
                </w:tcPr>
                <w:p>
                  <w:pPr>
                    <w:widowControl/>
                    <w:jc w:val="center"/>
                    <w:rPr>
                      <w:color w:val="000000"/>
                      <w:kern w:val="0"/>
                      <w:szCs w:val="21"/>
                    </w:rPr>
                  </w:pPr>
                </w:p>
              </w:tc>
              <w:tc>
                <w:tcPr>
                  <w:tcW w:w="444" w:type="pct"/>
                  <w:vMerge w:val="continue"/>
                  <w:tcBorders>
                    <w:tl2br w:val="nil"/>
                    <w:tr2bl w:val="nil"/>
                  </w:tcBorders>
                  <w:shd w:val="clear" w:color="auto" w:fill="auto"/>
                  <w:vAlign w:val="center"/>
                </w:tcPr>
                <w:p>
                  <w:pPr>
                    <w:widowControl/>
                    <w:jc w:val="center"/>
                    <w:rPr>
                      <w:color w:val="000000"/>
                      <w:kern w:val="0"/>
                      <w:szCs w:val="21"/>
                    </w:rPr>
                  </w:pPr>
                </w:p>
              </w:tc>
              <w:tc>
                <w:tcPr>
                  <w:tcW w:w="800" w:type="pct"/>
                  <w:vMerge w:val="continue"/>
                  <w:tcBorders>
                    <w:tl2br w:val="nil"/>
                    <w:tr2bl w:val="nil"/>
                  </w:tcBorders>
                  <w:shd w:val="clear" w:color="auto" w:fill="auto"/>
                  <w:vAlign w:val="center"/>
                </w:tcPr>
                <w:p>
                  <w:pPr>
                    <w:widowControl/>
                    <w:jc w:val="center"/>
                    <w:rPr>
                      <w:color w:val="000000"/>
                      <w:kern w:val="0"/>
                      <w:szCs w:val="21"/>
                    </w:rPr>
                  </w:pPr>
                </w:p>
              </w:tc>
              <w:tc>
                <w:tcPr>
                  <w:tcW w:w="534" w:type="pct"/>
                  <w:vMerge w:val="continue"/>
                  <w:tcBorders>
                    <w:tl2br w:val="nil"/>
                    <w:tr2bl w:val="nil"/>
                  </w:tcBorders>
                  <w:vAlign w:val="center"/>
                </w:tcPr>
                <w:p>
                  <w:pPr>
                    <w:widowControl/>
                    <w:adjustRightInd w:val="0"/>
                    <w:snapToGrid w:val="0"/>
                    <w:jc w:val="center"/>
                    <w:rPr>
                      <w:color w:val="000000"/>
                      <w:kern w:val="0"/>
                      <w:szCs w:val="21"/>
                    </w:rPr>
                  </w:pPr>
                </w:p>
              </w:tc>
              <w:tc>
                <w:tcPr>
                  <w:tcW w:w="625" w:type="pct"/>
                  <w:vMerge w:val="continue"/>
                  <w:tcBorders>
                    <w:tl2br w:val="nil"/>
                    <w:tr2bl w:val="nil"/>
                  </w:tcBorders>
                  <w:vAlign w:val="center"/>
                </w:tcPr>
                <w:p>
                  <w:pPr>
                    <w:widowControl/>
                    <w:adjustRightInd w:val="0"/>
                    <w:snapToGrid w:val="0"/>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pct"/>
                  <w:shd w:val="clear" w:color="auto" w:fill="auto"/>
                  <w:vAlign w:val="center"/>
                </w:tcPr>
                <w:p>
                  <w:pPr>
                    <w:jc w:val="center"/>
                    <w:rPr>
                      <w:bCs/>
                      <w:color w:val="000000"/>
                      <w:szCs w:val="21"/>
                    </w:rPr>
                  </w:pPr>
                  <w:r>
                    <w:rPr>
                      <w:bCs/>
                      <w:color w:val="000000"/>
                      <w:szCs w:val="21"/>
                    </w:rPr>
                    <w:t>项目地</w:t>
                  </w:r>
                </w:p>
              </w:tc>
              <w:tc>
                <w:tcPr>
                  <w:tcW w:w="534" w:type="pct"/>
                  <w:tcBorders>
                    <w:tl2br w:val="nil"/>
                    <w:tr2bl w:val="nil"/>
                  </w:tcBorders>
                  <w:shd w:val="clear" w:color="auto" w:fill="auto"/>
                  <w:vAlign w:val="center"/>
                </w:tcPr>
                <w:p>
                  <w:pPr>
                    <w:jc w:val="center"/>
                    <w:rPr>
                      <w:bCs/>
                      <w:color w:val="000000"/>
                      <w:szCs w:val="21"/>
                    </w:rPr>
                  </w:pPr>
                  <w:r>
                    <w:rPr>
                      <w:bCs/>
                      <w:color w:val="000000"/>
                      <w:szCs w:val="21"/>
                    </w:rPr>
                    <w:t>0</w:t>
                  </w:r>
                </w:p>
              </w:tc>
              <w:tc>
                <w:tcPr>
                  <w:tcW w:w="489" w:type="pct"/>
                  <w:tcBorders>
                    <w:tl2br w:val="nil"/>
                    <w:tr2bl w:val="nil"/>
                  </w:tcBorders>
                  <w:shd w:val="clear" w:color="auto" w:fill="auto"/>
                  <w:vAlign w:val="center"/>
                </w:tcPr>
                <w:p>
                  <w:pPr>
                    <w:widowControl/>
                    <w:snapToGrid w:val="0"/>
                    <w:jc w:val="center"/>
                    <w:rPr>
                      <w:bCs/>
                      <w:color w:val="000000"/>
                      <w:szCs w:val="21"/>
                    </w:rPr>
                  </w:pPr>
                  <w:r>
                    <w:rPr>
                      <w:bCs/>
                      <w:color w:val="000000"/>
                      <w:szCs w:val="21"/>
                    </w:rPr>
                    <w:t>0</w:t>
                  </w:r>
                </w:p>
              </w:tc>
              <w:tc>
                <w:tcPr>
                  <w:tcW w:w="577" w:type="pct"/>
                  <w:tcBorders>
                    <w:tl2br w:val="nil"/>
                    <w:tr2bl w:val="nil"/>
                  </w:tcBorders>
                  <w:shd w:val="clear" w:color="auto" w:fill="auto"/>
                  <w:vAlign w:val="center"/>
                </w:tcPr>
                <w:p>
                  <w:pPr>
                    <w:widowControl/>
                    <w:snapToGrid w:val="0"/>
                    <w:jc w:val="center"/>
                    <w:rPr>
                      <w:color w:val="000000"/>
                      <w:szCs w:val="21"/>
                    </w:rPr>
                  </w:pPr>
                  <w:r>
                    <w:rPr>
                      <w:color w:val="000000"/>
                      <w:szCs w:val="21"/>
                    </w:rPr>
                    <w:t>/</w:t>
                  </w:r>
                </w:p>
              </w:tc>
              <w:tc>
                <w:tcPr>
                  <w:tcW w:w="444" w:type="pct"/>
                  <w:tcBorders>
                    <w:tl2br w:val="nil"/>
                    <w:tr2bl w:val="nil"/>
                  </w:tcBorders>
                  <w:shd w:val="clear" w:color="auto" w:fill="auto"/>
                  <w:vAlign w:val="center"/>
                </w:tcPr>
                <w:p>
                  <w:pPr>
                    <w:widowControl/>
                    <w:snapToGrid w:val="0"/>
                    <w:jc w:val="center"/>
                    <w:rPr>
                      <w:color w:val="000000"/>
                      <w:szCs w:val="21"/>
                    </w:rPr>
                  </w:pPr>
                  <w:r>
                    <w:rPr>
                      <w:color w:val="000000"/>
                      <w:szCs w:val="21"/>
                    </w:rPr>
                    <w:t>/</w:t>
                  </w:r>
                </w:p>
              </w:tc>
              <w:tc>
                <w:tcPr>
                  <w:tcW w:w="800" w:type="pct"/>
                  <w:vMerge w:val="restart"/>
                  <w:tcBorders>
                    <w:tl2br w:val="nil"/>
                    <w:tr2bl w:val="nil"/>
                  </w:tcBorders>
                  <w:shd w:val="clear" w:color="auto" w:fill="auto"/>
                  <w:vAlign w:val="center"/>
                </w:tcPr>
                <w:p>
                  <w:pPr>
                    <w:jc w:val="center"/>
                    <w:rPr>
                      <w:color w:val="000000"/>
                      <w:kern w:val="0"/>
                      <w:szCs w:val="21"/>
                    </w:rPr>
                  </w:pPr>
                  <w:r>
                    <w:rPr>
                      <w:color w:val="000000"/>
                      <w:kern w:val="0"/>
                      <w:szCs w:val="21"/>
                    </w:rPr>
                    <w:t>《环境空气质量标准》（GB3095-2012）二类区</w:t>
                  </w:r>
                </w:p>
              </w:tc>
              <w:tc>
                <w:tcPr>
                  <w:tcW w:w="534" w:type="pct"/>
                  <w:tcBorders>
                    <w:tl2br w:val="nil"/>
                    <w:tr2bl w:val="nil"/>
                  </w:tcBorders>
                  <w:vAlign w:val="center"/>
                </w:tcPr>
                <w:p>
                  <w:pPr>
                    <w:jc w:val="center"/>
                    <w:rPr>
                      <w:bCs/>
                      <w:color w:val="000000"/>
                      <w:szCs w:val="21"/>
                    </w:rPr>
                  </w:pPr>
                  <w:r>
                    <w:rPr>
                      <w:bCs/>
                      <w:color w:val="000000"/>
                      <w:szCs w:val="21"/>
                    </w:rPr>
                    <w:t>/</w:t>
                  </w:r>
                </w:p>
              </w:tc>
              <w:tc>
                <w:tcPr>
                  <w:tcW w:w="625" w:type="pct"/>
                  <w:tcBorders>
                    <w:tl2br w:val="nil"/>
                    <w:tr2bl w:val="nil"/>
                  </w:tcBorders>
                  <w:vAlign w:val="center"/>
                </w:tcPr>
                <w:p>
                  <w:pPr>
                    <w:jc w:val="center"/>
                    <w:rPr>
                      <w:bCs/>
                      <w:color w:val="000000"/>
                      <w:szCs w:val="21"/>
                    </w:rPr>
                  </w:pPr>
                  <w:r>
                    <w:rPr>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 w:type="pct"/>
                  <w:shd w:val="clear" w:color="auto" w:fill="auto"/>
                  <w:vAlign w:val="center"/>
                </w:tcPr>
                <w:p>
                  <w:pPr>
                    <w:jc w:val="center"/>
                    <w:rPr>
                      <w:rFonts w:hint="eastAsia" w:eastAsia="宋体"/>
                      <w:bCs/>
                      <w:color w:val="000000"/>
                      <w:szCs w:val="21"/>
                      <w:lang w:eastAsia="zh-CN"/>
                    </w:rPr>
                  </w:pPr>
                  <w:r>
                    <w:rPr>
                      <w:rFonts w:hint="eastAsia"/>
                      <w:sz w:val="24"/>
                      <w:lang w:eastAsia="zh-CN"/>
                    </w:rPr>
                    <w:t>歇驾寺村</w:t>
                  </w:r>
                </w:p>
              </w:tc>
              <w:tc>
                <w:tcPr>
                  <w:tcW w:w="534" w:type="pct"/>
                  <w:tcBorders>
                    <w:tl2br w:val="nil"/>
                    <w:tr2bl w:val="nil"/>
                  </w:tcBorders>
                  <w:shd w:val="clear" w:color="auto" w:fill="auto"/>
                  <w:vAlign w:val="center"/>
                </w:tcPr>
                <w:p>
                  <w:pPr>
                    <w:jc w:val="center"/>
                    <w:rPr>
                      <w:bCs/>
                      <w:color w:val="000000"/>
                      <w:szCs w:val="21"/>
                    </w:rPr>
                  </w:pPr>
                  <w:r>
                    <w:rPr>
                      <w:rFonts w:hint="eastAsia"/>
                      <w:bCs/>
                      <w:color w:val="000000"/>
                      <w:szCs w:val="21"/>
                    </w:rPr>
                    <w:t>-95</w:t>
                  </w:r>
                </w:p>
              </w:tc>
              <w:tc>
                <w:tcPr>
                  <w:tcW w:w="489" w:type="pct"/>
                  <w:tcBorders>
                    <w:tl2br w:val="nil"/>
                    <w:tr2bl w:val="nil"/>
                  </w:tcBorders>
                  <w:shd w:val="clear" w:color="auto" w:fill="auto"/>
                  <w:vAlign w:val="center"/>
                </w:tcPr>
                <w:p>
                  <w:pPr>
                    <w:widowControl/>
                    <w:snapToGrid w:val="0"/>
                    <w:jc w:val="center"/>
                    <w:rPr>
                      <w:bCs/>
                      <w:color w:val="000000"/>
                      <w:szCs w:val="21"/>
                    </w:rPr>
                  </w:pPr>
                  <w:r>
                    <w:rPr>
                      <w:rFonts w:hint="eastAsia"/>
                      <w:bCs/>
                      <w:color w:val="000000"/>
                      <w:szCs w:val="21"/>
                    </w:rPr>
                    <w:t>180</w:t>
                  </w:r>
                </w:p>
              </w:tc>
              <w:tc>
                <w:tcPr>
                  <w:tcW w:w="577" w:type="pct"/>
                  <w:tcBorders>
                    <w:tl2br w:val="nil"/>
                    <w:tr2bl w:val="nil"/>
                  </w:tcBorders>
                  <w:shd w:val="clear" w:color="auto" w:fill="auto"/>
                  <w:vAlign w:val="center"/>
                </w:tcPr>
                <w:p>
                  <w:pPr>
                    <w:widowControl/>
                    <w:snapToGrid w:val="0"/>
                    <w:jc w:val="center"/>
                    <w:rPr>
                      <w:color w:val="000000"/>
                      <w:szCs w:val="21"/>
                    </w:rPr>
                  </w:pPr>
                  <w:r>
                    <w:rPr>
                      <w:rFonts w:hint="eastAsia"/>
                      <w:color w:val="000000"/>
                      <w:szCs w:val="21"/>
                    </w:rPr>
                    <w:t>居民区</w:t>
                  </w:r>
                </w:p>
              </w:tc>
              <w:tc>
                <w:tcPr>
                  <w:tcW w:w="444" w:type="pct"/>
                  <w:tcBorders>
                    <w:tl2br w:val="nil"/>
                    <w:tr2bl w:val="nil"/>
                  </w:tcBorders>
                  <w:shd w:val="clear" w:color="auto" w:fill="auto"/>
                  <w:vAlign w:val="center"/>
                </w:tcPr>
                <w:p>
                  <w:pPr>
                    <w:widowControl/>
                    <w:snapToGrid w:val="0"/>
                    <w:jc w:val="center"/>
                    <w:rPr>
                      <w:color w:val="000000"/>
                      <w:szCs w:val="21"/>
                    </w:rPr>
                  </w:pPr>
                  <w:r>
                    <w:rPr>
                      <w:color w:val="000000"/>
                      <w:szCs w:val="21"/>
                    </w:rPr>
                    <w:t>人群</w:t>
                  </w:r>
                </w:p>
              </w:tc>
              <w:tc>
                <w:tcPr>
                  <w:tcW w:w="800" w:type="pct"/>
                  <w:vMerge w:val="continue"/>
                  <w:tcBorders>
                    <w:tl2br w:val="nil"/>
                    <w:tr2bl w:val="nil"/>
                  </w:tcBorders>
                  <w:shd w:val="clear" w:color="auto" w:fill="auto"/>
                  <w:vAlign w:val="center"/>
                </w:tcPr>
                <w:p>
                  <w:pPr>
                    <w:jc w:val="center"/>
                    <w:rPr>
                      <w:color w:val="000000"/>
                      <w:kern w:val="0"/>
                      <w:szCs w:val="21"/>
                    </w:rPr>
                  </w:pPr>
                </w:p>
              </w:tc>
              <w:tc>
                <w:tcPr>
                  <w:tcW w:w="534" w:type="pct"/>
                  <w:shd w:val="clear" w:color="auto" w:fill="auto"/>
                  <w:vAlign w:val="center"/>
                </w:tcPr>
                <w:p>
                  <w:pPr>
                    <w:jc w:val="center"/>
                    <w:rPr>
                      <w:bCs/>
                      <w:color w:val="000000"/>
                      <w:szCs w:val="21"/>
                    </w:rPr>
                  </w:pPr>
                  <w:r>
                    <w:rPr>
                      <w:rFonts w:hint="eastAsia"/>
                      <w:bCs/>
                      <w:color w:val="000000"/>
                      <w:szCs w:val="21"/>
                    </w:rPr>
                    <w:t>西北</w:t>
                  </w:r>
                </w:p>
              </w:tc>
              <w:tc>
                <w:tcPr>
                  <w:tcW w:w="625" w:type="pct"/>
                  <w:shd w:val="clear" w:color="auto" w:fill="auto"/>
                  <w:vAlign w:val="center"/>
                </w:tcPr>
                <w:p>
                  <w:pPr>
                    <w:jc w:val="center"/>
                    <w:rPr>
                      <w:bCs/>
                      <w:color w:val="000000"/>
                      <w:szCs w:val="21"/>
                    </w:rPr>
                  </w:pPr>
                  <w:r>
                    <w:rPr>
                      <w:bCs/>
                      <w:color w:val="000000"/>
                      <w:szCs w:val="21"/>
                    </w:rPr>
                    <w:t>2</w:t>
                  </w:r>
                  <w:r>
                    <w:rPr>
                      <w:rFonts w:hint="eastAsia"/>
                      <w:bCs/>
                      <w:color w:val="000000"/>
                      <w:szCs w:val="21"/>
                    </w:rPr>
                    <w:t>1</w:t>
                  </w:r>
                  <w:r>
                    <w:rPr>
                      <w:bCs/>
                      <w:color w:val="000000"/>
                      <w:szCs w:val="21"/>
                    </w:rPr>
                    <w:t>0</w:t>
                  </w:r>
                </w:p>
              </w:tc>
            </w:tr>
          </w:tbl>
          <w:p>
            <w:pPr>
              <w:adjustRightInd w:val="0"/>
              <w:snapToGrid w:val="0"/>
              <w:rPr>
                <w:color w:val="000000"/>
                <w:kern w:val="0"/>
                <w:sz w:val="24"/>
              </w:rPr>
            </w:pPr>
          </w:p>
          <w:p>
            <w:pPr>
              <w:adjustRightInd w:val="0"/>
              <w:snapToGrid w:val="0"/>
              <w:rPr>
                <w:color w:val="000000"/>
                <w:kern w:val="0"/>
                <w:sz w:val="24"/>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adjustRightInd w:val="0"/>
              <w:snapToGrid w:val="0"/>
              <w:rPr>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5" w:hRule="atLeast"/>
          <w:jc w:val="center"/>
        </w:trPr>
        <w:tc>
          <w:tcPr>
            <w:tcW w:w="827" w:type="dxa"/>
            <w:tcMar>
              <w:left w:w="28" w:type="dxa"/>
              <w:right w:w="28" w:type="dxa"/>
            </w:tcMar>
            <w:vAlign w:val="center"/>
          </w:tcPr>
          <w:p>
            <w:pPr>
              <w:adjustRightInd w:val="0"/>
              <w:snapToGrid w:val="0"/>
              <w:jc w:val="center"/>
              <w:rPr>
                <w:kern w:val="0"/>
                <w:sz w:val="24"/>
              </w:rPr>
            </w:pPr>
            <w:r>
              <w:rPr>
                <w:kern w:val="0"/>
                <w:sz w:val="24"/>
              </w:rPr>
              <w:t>污染</w:t>
            </w:r>
          </w:p>
          <w:p>
            <w:pPr>
              <w:adjustRightInd w:val="0"/>
              <w:snapToGrid w:val="0"/>
              <w:jc w:val="center"/>
              <w:rPr>
                <w:kern w:val="0"/>
                <w:sz w:val="24"/>
              </w:rPr>
            </w:pPr>
            <w:r>
              <w:rPr>
                <w:kern w:val="0"/>
                <w:sz w:val="24"/>
              </w:rPr>
              <w:t>物排</w:t>
            </w:r>
          </w:p>
          <w:p>
            <w:pPr>
              <w:adjustRightInd w:val="0"/>
              <w:snapToGrid w:val="0"/>
              <w:jc w:val="center"/>
              <w:rPr>
                <w:kern w:val="0"/>
                <w:sz w:val="24"/>
              </w:rPr>
            </w:pPr>
            <w:r>
              <w:rPr>
                <w:kern w:val="0"/>
                <w:sz w:val="24"/>
              </w:rPr>
              <w:t>放控</w:t>
            </w:r>
          </w:p>
          <w:p>
            <w:pPr>
              <w:adjustRightInd w:val="0"/>
              <w:snapToGrid w:val="0"/>
              <w:jc w:val="center"/>
              <w:rPr>
                <w:kern w:val="0"/>
                <w:sz w:val="24"/>
              </w:rPr>
            </w:pPr>
            <w:r>
              <w:rPr>
                <w:kern w:val="0"/>
                <w:sz w:val="24"/>
              </w:rPr>
              <w:t>制标</w:t>
            </w:r>
          </w:p>
          <w:p>
            <w:pPr>
              <w:adjustRightInd w:val="0"/>
              <w:snapToGrid w:val="0"/>
              <w:jc w:val="center"/>
              <w:rPr>
                <w:kern w:val="0"/>
                <w:sz w:val="24"/>
              </w:rPr>
            </w:pPr>
            <w:r>
              <w:rPr>
                <w:kern w:val="0"/>
                <w:sz w:val="24"/>
              </w:rPr>
              <w:t>准</w:t>
            </w:r>
          </w:p>
        </w:tc>
        <w:tc>
          <w:tcPr>
            <w:tcW w:w="8462" w:type="dxa"/>
            <w:vAlign w:val="center"/>
          </w:tcPr>
          <w:p>
            <w:pPr>
              <w:pStyle w:val="65"/>
              <w:spacing w:before="240" w:beforeLines="100"/>
              <w:ind w:firstLine="0" w:firstLineChars="0"/>
              <w:rPr>
                <w:rFonts w:hAnsi="Times New Roman" w:cs="Times New Roman"/>
                <w:b/>
                <w:snapToGrid w:val="0"/>
                <w:kern w:val="0"/>
                <w:szCs w:val="24"/>
              </w:rPr>
            </w:pPr>
            <w:r>
              <w:rPr>
                <w:rFonts w:hAnsi="Times New Roman" w:cs="Times New Roman"/>
                <w:b/>
                <w:snapToGrid w:val="0"/>
                <w:kern w:val="0"/>
                <w:szCs w:val="24"/>
              </w:rPr>
              <w:t>3.5.1大气污染物排放标准</w:t>
            </w:r>
          </w:p>
          <w:p>
            <w:pPr>
              <w:pStyle w:val="66"/>
              <w:adjustRightInd/>
              <w:ind w:firstLine="480" w:firstLineChars="200"/>
              <w:jc w:val="left"/>
              <w:rPr>
                <w:b w:val="0"/>
                <w:sz w:val="24"/>
                <w:szCs w:val="24"/>
              </w:rPr>
            </w:pPr>
            <w:r>
              <w:rPr>
                <w:b w:val="0"/>
                <w:sz w:val="24"/>
                <w:szCs w:val="24"/>
              </w:rPr>
              <w:t>运营期粉尘执行《大气污染物综合排放标准》（GB16297-1996）表2二级标准及厂界无组织排放标准要求。</w:t>
            </w:r>
          </w:p>
          <w:p>
            <w:pPr>
              <w:spacing w:before="120" w:beforeLines="50" w:line="360" w:lineRule="auto"/>
              <w:jc w:val="center"/>
              <w:rPr>
                <w:b/>
                <w:bCs/>
                <w:color w:val="000000"/>
                <w:kern w:val="0"/>
                <w:szCs w:val="21"/>
              </w:rPr>
            </w:pPr>
            <w:r>
              <w:rPr>
                <w:b/>
                <w:bCs/>
                <w:color w:val="000000"/>
                <w:kern w:val="0"/>
                <w:szCs w:val="21"/>
              </w:rPr>
              <w:t>表3-3  运行期废气排放执行标准</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1262"/>
              <w:gridCol w:w="2907"/>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2" w:type="pct"/>
                  <w:vAlign w:val="center"/>
                </w:tcPr>
                <w:p>
                  <w:pPr>
                    <w:jc w:val="center"/>
                    <w:rPr>
                      <w:szCs w:val="21"/>
                    </w:rPr>
                  </w:pPr>
                  <w:r>
                    <w:rPr>
                      <w:szCs w:val="21"/>
                    </w:rPr>
                    <w:t>标准名称</w:t>
                  </w:r>
                </w:p>
              </w:tc>
              <w:tc>
                <w:tcPr>
                  <w:tcW w:w="766" w:type="pct"/>
                  <w:vAlign w:val="center"/>
                </w:tcPr>
                <w:p>
                  <w:pPr>
                    <w:jc w:val="center"/>
                    <w:rPr>
                      <w:szCs w:val="21"/>
                    </w:rPr>
                  </w:pPr>
                  <w:r>
                    <w:rPr>
                      <w:szCs w:val="21"/>
                    </w:rPr>
                    <w:t>污染因子</w:t>
                  </w:r>
                </w:p>
              </w:tc>
              <w:tc>
                <w:tcPr>
                  <w:tcW w:w="1764" w:type="pct"/>
                  <w:vAlign w:val="center"/>
                </w:tcPr>
                <w:p>
                  <w:pPr>
                    <w:jc w:val="center"/>
                    <w:rPr>
                      <w:szCs w:val="21"/>
                    </w:rPr>
                  </w:pPr>
                  <w:r>
                    <w:rPr>
                      <w:szCs w:val="21"/>
                    </w:rPr>
                    <w:t>类别</w:t>
                  </w:r>
                </w:p>
              </w:tc>
              <w:tc>
                <w:tcPr>
                  <w:tcW w:w="916" w:type="pct"/>
                  <w:vAlign w:val="center"/>
                </w:tcPr>
                <w:p>
                  <w:pPr>
                    <w:jc w:val="center"/>
                    <w:rPr>
                      <w:szCs w:val="21"/>
                    </w:rPr>
                  </w:pPr>
                  <w:r>
                    <w:rPr>
                      <w:szCs w:val="21"/>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2" w:type="pct"/>
                  <w:vMerge w:val="restart"/>
                  <w:vAlign w:val="center"/>
                </w:tcPr>
                <w:p>
                  <w:pPr>
                    <w:jc w:val="center"/>
                    <w:rPr>
                      <w:szCs w:val="21"/>
                    </w:rPr>
                  </w:pPr>
                  <w:r>
                    <w:rPr>
                      <w:bCs/>
                      <w:kern w:val="28"/>
                      <w:szCs w:val="21"/>
                    </w:rPr>
                    <w:t>《大气污染物综合排放标准》（GB16297-1996）</w:t>
                  </w:r>
                </w:p>
              </w:tc>
              <w:tc>
                <w:tcPr>
                  <w:tcW w:w="766" w:type="pct"/>
                  <w:vMerge w:val="restart"/>
                  <w:vAlign w:val="center"/>
                </w:tcPr>
                <w:p>
                  <w:pPr>
                    <w:jc w:val="center"/>
                    <w:rPr>
                      <w:szCs w:val="21"/>
                    </w:rPr>
                  </w:pPr>
                  <w:r>
                    <w:rPr>
                      <w:szCs w:val="21"/>
                    </w:rPr>
                    <w:t>颗粒物</w:t>
                  </w:r>
                </w:p>
              </w:tc>
              <w:tc>
                <w:tcPr>
                  <w:tcW w:w="1764" w:type="pct"/>
                  <w:vAlign w:val="center"/>
                </w:tcPr>
                <w:p>
                  <w:pPr>
                    <w:jc w:val="center"/>
                    <w:rPr>
                      <w:szCs w:val="21"/>
                    </w:rPr>
                  </w:pPr>
                  <w:r>
                    <w:rPr>
                      <w:szCs w:val="21"/>
                    </w:rPr>
                    <w:t>有组织最高允许排放浓度</w:t>
                  </w:r>
                </w:p>
              </w:tc>
              <w:tc>
                <w:tcPr>
                  <w:tcW w:w="916" w:type="pct"/>
                  <w:vAlign w:val="center"/>
                </w:tcPr>
                <w:p>
                  <w:pPr>
                    <w:jc w:val="center"/>
                    <w:rPr>
                      <w:szCs w:val="21"/>
                    </w:rPr>
                  </w:pPr>
                  <w:r>
                    <w:rPr>
                      <w:szCs w:val="21"/>
                    </w:rPr>
                    <w:t>120mg/m</w:t>
                  </w:r>
                  <w:r>
                    <w:rPr>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2" w:type="pct"/>
                  <w:vMerge w:val="continue"/>
                  <w:vAlign w:val="center"/>
                </w:tcPr>
                <w:p>
                  <w:pPr>
                    <w:jc w:val="center"/>
                    <w:rPr>
                      <w:szCs w:val="21"/>
                    </w:rPr>
                  </w:pPr>
                </w:p>
              </w:tc>
              <w:tc>
                <w:tcPr>
                  <w:tcW w:w="766" w:type="pct"/>
                  <w:vMerge w:val="continue"/>
                  <w:vAlign w:val="center"/>
                </w:tcPr>
                <w:p>
                  <w:pPr>
                    <w:jc w:val="center"/>
                    <w:rPr>
                      <w:szCs w:val="21"/>
                    </w:rPr>
                  </w:pPr>
                </w:p>
              </w:tc>
              <w:tc>
                <w:tcPr>
                  <w:tcW w:w="1764" w:type="pct"/>
                  <w:vAlign w:val="center"/>
                </w:tcPr>
                <w:p>
                  <w:pPr>
                    <w:jc w:val="center"/>
                    <w:rPr>
                      <w:szCs w:val="21"/>
                    </w:rPr>
                  </w:pPr>
                  <w:r>
                    <w:rPr>
                      <w:szCs w:val="21"/>
                    </w:rPr>
                    <w:t>最高允许排放速率</w:t>
                  </w:r>
                </w:p>
              </w:tc>
              <w:tc>
                <w:tcPr>
                  <w:tcW w:w="916" w:type="pct"/>
                  <w:vAlign w:val="center"/>
                </w:tcPr>
                <w:p>
                  <w:pPr>
                    <w:jc w:val="center"/>
                    <w:rPr>
                      <w:szCs w:val="21"/>
                    </w:rPr>
                  </w:pPr>
                  <w:r>
                    <w:rPr>
                      <w:szCs w:val="21"/>
                    </w:rPr>
                    <w:t>3.5kg/h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2" w:type="pct"/>
                  <w:vMerge w:val="continue"/>
                  <w:vAlign w:val="center"/>
                </w:tcPr>
                <w:p>
                  <w:pPr>
                    <w:jc w:val="center"/>
                    <w:rPr>
                      <w:szCs w:val="21"/>
                    </w:rPr>
                  </w:pPr>
                </w:p>
              </w:tc>
              <w:tc>
                <w:tcPr>
                  <w:tcW w:w="766" w:type="pct"/>
                  <w:vMerge w:val="continue"/>
                  <w:vAlign w:val="center"/>
                </w:tcPr>
                <w:p>
                  <w:pPr>
                    <w:jc w:val="center"/>
                    <w:rPr>
                      <w:szCs w:val="21"/>
                    </w:rPr>
                  </w:pPr>
                </w:p>
              </w:tc>
              <w:tc>
                <w:tcPr>
                  <w:tcW w:w="1764" w:type="pct"/>
                  <w:vAlign w:val="center"/>
                </w:tcPr>
                <w:p>
                  <w:pPr>
                    <w:jc w:val="center"/>
                    <w:rPr>
                      <w:szCs w:val="21"/>
                    </w:rPr>
                  </w:pPr>
                  <w:r>
                    <w:rPr>
                      <w:szCs w:val="21"/>
                    </w:rPr>
                    <w:t>无组织排放监控浓度</w:t>
                  </w:r>
                </w:p>
              </w:tc>
              <w:tc>
                <w:tcPr>
                  <w:tcW w:w="916" w:type="pct"/>
                  <w:vAlign w:val="center"/>
                </w:tcPr>
                <w:p>
                  <w:pPr>
                    <w:jc w:val="center"/>
                    <w:rPr>
                      <w:szCs w:val="21"/>
                    </w:rPr>
                  </w:pPr>
                  <w:r>
                    <w:rPr>
                      <w:szCs w:val="21"/>
                    </w:rPr>
                    <w:t>1mg/m</w:t>
                  </w:r>
                  <w:r>
                    <w:rPr>
                      <w:szCs w:val="21"/>
                      <w:vertAlign w:val="superscript"/>
                    </w:rPr>
                    <w:t>3</w:t>
                  </w:r>
                </w:p>
              </w:tc>
            </w:tr>
          </w:tbl>
          <w:p>
            <w:pPr>
              <w:spacing w:line="360" w:lineRule="auto"/>
              <w:rPr>
                <w:b/>
                <w:snapToGrid w:val="0"/>
                <w:kern w:val="0"/>
                <w:sz w:val="24"/>
                <w:lang w:val="en-GB"/>
              </w:rPr>
            </w:pPr>
            <w:r>
              <w:rPr>
                <w:b/>
                <w:snapToGrid w:val="0"/>
                <w:kern w:val="0"/>
                <w:sz w:val="24"/>
              </w:rPr>
              <w:t>3.5.2</w:t>
            </w:r>
            <w:r>
              <w:rPr>
                <w:b/>
                <w:snapToGrid w:val="0"/>
                <w:kern w:val="0"/>
                <w:sz w:val="24"/>
                <w:lang w:val="en-GB"/>
              </w:rPr>
              <w:t>水</w:t>
            </w:r>
            <w:r>
              <w:rPr>
                <w:b/>
                <w:snapToGrid w:val="0"/>
                <w:kern w:val="0"/>
                <w:sz w:val="24"/>
              </w:rPr>
              <w:t>污染物排放标准</w:t>
            </w:r>
          </w:p>
          <w:p>
            <w:pPr>
              <w:spacing w:line="360" w:lineRule="auto"/>
              <w:ind w:firstLine="480" w:firstLineChars="200"/>
              <w:rPr>
                <w:bCs/>
                <w:kern w:val="28"/>
                <w:sz w:val="24"/>
              </w:rPr>
            </w:pPr>
            <w:r>
              <w:rPr>
                <w:bCs/>
                <w:kern w:val="28"/>
                <w:sz w:val="24"/>
              </w:rPr>
              <w:t>运营期生活污水排入</w:t>
            </w:r>
            <w:r>
              <w:rPr>
                <w:rFonts w:hint="eastAsia"/>
                <w:bCs/>
                <w:kern w:val="28"/>
                <w:sz w:val="24"/>
              </w:rPr>
              <w:t>防渗旱厕</w:t>
            </w:r>
            <w:r>
              <w:rPr>
                <w:bCs/>
                <w:kern w:val="28"/>
                <w:sz w:val="24"/>
              </w:rPr>
              <w:t>，定期清掏肥田，生产废水回用，不排放。</w:t>
            </w:r>
          </w:p>
          <w:p>
            <w:pPr>
              <w:spacing w:line="360" w:lineRule="auto"/>
              <w:rPr>
                <w:b/>
                <w:snapToGrid w:val="0"/>
                <w:kern w:val="0"/>
                <w:sz w:val="24"/>
              </w:rPr>
            </w:pPr>
            <w:r>
              <w:rPr>
                <w:b/>
                <w:snapToGrid w:val="0"/>
                <w:kern w:val="0"/>
                <w:sz w:val="24"/>
              </w:rPr>
              <w:t>3.5.3噪声排放标准</w:t>
            </w:r>
          </w:p>
          <w:p>
            <w:pPr>
              <w:pStyle w:val="76"/>
              <w:spacing w:line="360" w:lineRule="auto"/>
              <w:ind w:firstLineChars="200"/>
              <w:jc w:val="left"/>
              <w:rPr>
                <w:bCs/>
                <w:snapToGrid w:val="0"/>
                <w:kern w:val="0"/>
                <w:sz w:val="24"/>
                <w:lang w:val="en-GB"/>
              </w:rPr>
            </w:pPr>
            <w:r>
              <w:rPr>
                <w:sz w:val="24"/>
              </w:rPr>
              <w:t>运营期厂界噪声执行《工业企业厂界环境噪声排放标准》（GB12348-2008）中2类标准</w:t>
            </w:r>
            <w:r>
              <w:rPr>
                <w:sz w:val="24"/>
                <w:lang w:val="en-GB"/>
              </w:rPr>
              <w:t>。</w:t>
            </w:r>
          </w:p>
          <w:p>
            <w:pPr>
              <w:spacing w:before="120" w:beforeLines="50" w:line="360" w:lineRule="auto"/>
              <w:jc w:val="center"/>
              <w:rPr>
                <w:b/>
                <w:bCs/>
                <w:sz w:val="24"/>
              </w:rPr>
            </w:pPr>
            <w:r>
              <w:rPr>
                <w:rFonts w:hint="eastAsia"/>
                <w:b/>
                <w:bCs/>
                <w:sz w:val="24"/>
              </w:rPr>
              <w:t xml:space="preserve"> </w:t>
            </w:r>
            <w:r>
              <w:rPr>
                <w:b/>
                <w:bCs/>
                <w:sz w:val="24"/>
              </w:rPr>
              <w:t xml:space="preserve">                </w:t>
            </w:r>
            <w:r>
              <w:rPr>
                <w:b/>
                <w:bCs/>
                <w:color w:val="000000"/>
                <w:kern w:val="0"/>
                <w:szCs w:val="21"/>
              </w:rPr>
              <w:t xml:space="preserve"> 表3-4   噪声排放标准</w:t>
            </w:r>
            <w:r>
              <w:rPr>
                <w:rFonts w:hint="eastAsia"/>
                <w:b/>
                <w:bCs/>
                <w:color w:val="000000"/>
                <w:kern w:val="0"/>
                <w:szCs w:val="21"/>
              </w:rPr>
              <w:t xml:space="preserve"> </w:t>
            </w:r>
            <w:r>
              <w:rPr>
                <w:b/>
                <w:bCs/>
                <w:color w:val="000000"/>
                <w:kern w:val="0"/>
                <w:szCs w:val="21"/>
              </w:rPr>
              <w:t xml:space="preserve">       </w:t>
            </w:r>
            <w:r>
              <w:rPr>
                <w:rFonts w:hint="eastAsia"/>
                <w:b/>
                <w:bCs/>
                <w:color w:val="000000"/>
                <w:kern w:val="0"/>
                <w:szCs w:val="21"/>
              </w:rPr>
              <w:t>单位：dB（A）</w:t>
            </w:r>
          </w:p>
          <w:tbl>
            <w:tblPr>
              <w:tblStyle w:val="26"/>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6"/>
              <w:gridCol w:w="84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66" w:type="dxa"/>
                  <w:vAlign w:val="center"/>
                </w:tcPr>
                <w:p>
                  <w:pPr>
                    <w:snapToGrid w:val="0"/>
                    <w:jc w:val="center"/>
                    <w:rPr>
                      <w:b/>
                      <w:bCs/>
                      <w:szCs w:val="21"/>
                      <w:lang w:val="en-GB"/>
                    </w:rPr>
                  </w:pPr>
                  <w:r>
                    <w:rPr>
                      <w:rFonts w:hint="eastAsia"/>
                      <w:b/>
                      <w:bCs/>
                      <w:szCs w:val="21"/>
                    </w:rPr>
                    <w:t>标准名称、标号及级别</w:t>
                  </w:r>
                </w:p>
              </w:tc>
              <w:tc>
                <w:tcPr>
                  <w:tcW w:w="847" w:type="dxa"/>
                  <w:vAlign w:val="center"/>
                </w:tcPr>
                <w:p>
                  <w:pPr>
                    <w:snapToGrid w:val="0"/>
                    <w:jc w:val="center"/>
                    <w:rPr>
                      <w:b/>
                      <w:bCs/>
                      <w:szCs w:val="21"/>
                      <w:lang w:val="en-GB"/>
                    </w:rPr>
                  </w:pPr>
                  <w:r>
                    <w:rPr>
                      <w:b/>
                      <w:bCs/>
                      <w:szCs w:val="21"/>
                    </w:rPr>
                    <w:t>昼间</w:t>
                  </w:r>
                </w:p>
              </w:tc>
              <w:tc>
                <w:tcPr>
                  <w:tcW w:w="1168" w:type="dxa"/>
                  <w:vAlign w:val="center"/>
                </w:tcPr>
                <w:p>
                  <w:pPr>
                    <w:snapToGrid w:val="0"/>
                    <w:jc w:val="center"/>
                    <w:rPr>
                      <w:b/>
                      <w:bCs/>
                      <w:szCs w:val="21"/>
                      <w:lang w:val="en-GB"/>
                    </w:rPr>
                  </w:pPr>
                  <w:r>
                    <w:rPr>
                      <w:b/>
                      <w:bCs/>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66" w:type="dxa"/>
                  <w:vAlign w:val="center"/>
                </w:tcPr>
                <w:p>
                  <w:pPr>
                    <w:snapToGrid w:val="0"/>
                    <w:jc w:val="center"/>
                    <w:rPr>
                      <w:szCs w:val="21"/>
                    </w:rPr>
                  </w:pPr>
                  <w:r>
                    <w:rPr>
                      <w:rFonts w:hint="eastAsia"/>
                      <w:szCs w:val="21"/>
                    </w:rPr>
                    <w:t>《工业企业厂界环境噪声排放标准》（GB12348-2008）中2类标准</w:t>
                  </w:r>
                </w:p>
              </w:tc>
              <w:tc>
                <w:tcPr>
                  <w:tcW w:w="847" w:type="dxa"/>
                  <w:vAlign w:val="center"/>
                </w:tcPr>
                <w:p>
                  <w:pPr>
                    <w:snapToGrid w:val="0"/>
                    <w:jc w:val="center"/>
                    <w:rPr>
                      <w:szCs w:val="21"/>
                    </w:rPr>
                  </w:pPr>
                  <w:r>
                    <w:rPr>
                      <w:rFonts w:hint="eastAsia"/>
                      <w:szCs w:val="21"/>
                    </w:rPr>
                    <w:t>6</w:t>
                  </w:r>
                  <w:r>
                    <w:rPr>
                      <w:szCs w:val="21"/>
                    </w:rPr>
                    <w:t>0</w:t>
                  </w:r>
                </w:p>
              </w:tc>
              <w:tc>
                <w:tcPr>
                  <w:tcW w:w="1168" w:type="dxa"/>
                  <w:vAlign w:val="center"/>
                </w:tcPr>
                <w:p>
                  <w:pPr>
                    <w:snapToGrid w:val="0"/>
                    <w:jc w:val="center"/>
                    <w:rPr>
                      <w:szCs w:val="21"/>
                    </w:rPr>
                  </w:pPr>
                  <w:r>
                    <w:rPr>
                      <w:rFonts w:hint="eastAsia"/>
                      <w:szCs w:val="21"/>
                    </w:rPr>
                    <w:t>5</w:t>
                  </w:r>
                  <w:r>
                    <w:rPr>
                      <w:szCs w:val="21"/>
                    </w:rPr>
                    <w:t>0</w:t>
                  </w:r>
                </w:p>
              </w:tc>
            </w:tr>
          </w:tbl>
          <w:p>
            <w:pPr>
              <w:pStyle w:val="76"/>
              <w:spacing w:line="360" w:lineRule="auto"/>
              <w:ind w:firstLine="0"/>
              <w:rPr>
                <w:sz w:val="24"/>
              </w:rPr>
            </w:pPr>
          </w:p>
          <w:p>
            <w:pPr>
              <w:spacing w:before="120" w:beforeLines="50" w:line="360" w:lineRule="auto"/>
              <w:rPr>
                <w:bCs/>
                <w:snapToGrid w:val="0"/>
                <w:kern w:val="0"/>
                <w:sz w:val="24"/>
                <w:lang w:val="en-GB"/>
              </w:rPr>
            </w:pPr>
            <w:r>
              <w:rPr>
                <w:b/>
                <w:snapToGrid w:val="0"/>
                <w:kern w:val="0"/>
                <w:sz w:val="24"/>
              </w:rPr>
              <w:t>3.5.4</w:t>
            </w:r>
            <w:r>
              <w:rPr>
                <w:b/>
                <w:snapToGrid w:val="0"/>
                <w:kern w:val="0"/>
                <w:sz w:val="24"/>
                <w:lang w:val="en-GB"/>
              </w:rPr>
              <w:t>固体废物</w:t>
            </w:r>
            <w:r>
              <w:rPr>
                <w:b/>
                <w:snapToGrid w:val="0"/>
                <w:kern w:val="0"/>
                <w:sz w:val="24"/>
              </w:rPr>
              <w:t>排放标准</w:t>
            </w:r>
          </w:p>
          <w:p>
            <w:pPr>
              <w:spacing w:line="360" w:lineRule="auto"/>
              <w:ind w:firstLine="480" w:firstLineChars="200"/>
              <w:rPr>
                <w:kern w:val="0"/>
                <w:sz w:val="24"/>
              </w:rPr>
            </w:pPr>
            <w:r>
              <w:rPr>
                <w:sz w:val="24"/>
              </w:rPr>
              <w:t>一般固体废物执行《一般工业固体废物贮存和填埋污染控制标准》（GB18599-2020）；危险废物执行《危险废物贮存污染控制标准》（GB18597-2001）及其修改单（环保部公告2013年第36号修订）。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8" w:hRule="atLeast"/>
          <w:jc w:val="center"/>
        </w:trPr>
        <w:tc>
          <w:tcPr>
            <w:tcW w:w="827" w:type="dxa"/>
            <w:vAlign w:val="center"/>
          </w:tcPr>
          <w:p>
            <w:pPr>
              <w:adjustRightInd w:val="0"/>
              <w:snapToGrid w:val="0"/>
              <w:jc w:val="center"/>
              <w:rPr>
                <w:kern w:val="0"/>
                <w:sz w:val="24"/>
              </w:rPr>
            </w:pPr>
            <w:r>
              <w:rPr>
                <w:kern w:val="0"/>
                <w:sz w:val="24"/>
              </w:rPr>
              <w:t>总量</w:t>
            </w:r>
          </w:p>
          <w:p>
            <w:pPr>
              <w:adjustRightInd w:val="0"/>
              <w:snapToGrid w:val="0"/>
              <w:jc w:val="center"/>
              <w:rPr>
                <w:kern w:val="0"/>
                <w:sz w:val="24"/>
              </w:rPr>
            </w:pPr>
            <w:r>
              <w:rPr>
                <w:kern w:val="0"/>
                <w:sz w:val="24"/>
              </w:rPr>
              <w:t>控制</w:t>
            </w:r>
          </w:p>
          <w:p>
            <w:pPr>
              <w:adjustRightInd w:val="0"/>
              <w:snapToGrid w:val="0"/>
              <w:jc w:val="center"/>
              <w:rPr>
                <w:kern w:val="0"/>
                <w:sz w:val="24"/>
              </w:rPr>
            </w:pPr>
            <w:r>
              <w:rPr>
                <w:kern w:val="0"/>
                <w:sz w:val="24"/>
              </w:rPr>
              <w:t>指标</w:t>
            </w:r>
          </w:p>
        </w:tc>
        <w:tc>
          <w:tcPr>
            <w:tcW w:w="8462" w:type="dxa"/>
            <w:vAlign w:val="center"/>
          </w:tcPr>
          <w:p>
            <w:pPr>
              <w:spacing w:before="120" w:beforeLines="50" w:line="360" w:lineRule="auto"/>
              <w:jc w:val="center"/>
              <w:rPr>
                <w:kern w:val="0"/>
                <w:sz w:val="24"/>
              </w:rPr>
            </w:pPr>
            <w:r>
              <w:rPr>
                <w:rFonts w:hint="eastAsia"/>
                <w:bCs/>
                <w:sz w:val="24"/>
              </w:rPr>
              <w:t>无</w:t>
            </w:r>
          </w:p>
        </w:tc>
      </w:tr>
    </w:tbl>
    <w:p>
      <w:pPr>
        <w:pStyle w:val="21"/>
        <w:jc w:val="center"/>
        <w:outlineLvl w:val="0"/>
        <w:rPr>
          <w:rFonts w:ascii="Times New Roman" w:hAnsi="Times New Roman" w:eastAsia="黑体"/>
          <w:snapToGrid w:val="0"/>
          <w:sz w:val="30"/>
          <w:szCs w:val="30"/>
          <w:highlight w:val="cyan"/>
        </w:rPr>
      </w:pPr>
      <w:r>
        <w:rPr>
          <w:rFonts w:ascii="Times New Roman" w:hAnsi="Times New Roman" w:eastAsia="黑体"/>
          <w:snapToGrid w:val="0"/>
          <w:sz w:val="36"/>
          <w:szCs w:val="36"/>
          <w:highlight w:val="cyan"/>
        </w:rPr>
        <w:br w:type="page"/>
      </w:r>
      <w:bookmarkStart w:id="9" w:name="_Toc103016569"/>
      <w:r>
        <w:rPr>
          <w:rFonts w:ascii="Times New Roman" w:hAnsi="Times New Roman" w:eastAsia="黑体"/>
          <w:snapToGrid w:val="0"/>
          <w:sz w:val="30"/>
          <w:szCs w:val="30"/>
        </w:rPr>
        <w:t>四、主要环境影响和保护措施</w:t>
      </w:r>
      <w:bookmarkEnd w:id="9"/>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84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83" w:hRule="atLeast"/>
          <w:jc w:val="center"/>
        </w:trPr>
        <w:tc>
          <w:tcPr>
            <w:tcW w:w="746" w:type="dxa"/>
            <w:tcMar>
              <w:left w:w="28" w:type="dxa"/>
              <w:right w:w="28" w:type="dxa"/>
            </w:tcMar>
            <w:vAlign w:val="center"/>
          </w:tcPr>
          <w:p>
            <w:pPr>
              <w:pStyle w:val="21"/>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施工</w:t>
            </w:r>
          </w:p>
          <w:p>
            <w:pPr>
              <w:pStyle w:val="21"/>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期环</w:t>
            </w:r>
          </w:p>
          <w:p>
            <w:pPr>
              <w:pStyle w:val="21"/>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境保</w:t>
            </w:r>
          </w:p>
          <w:p>
            <w:pPr>
              <w:pStyle w:val="21"/>
              <w:adjustRightInd w:val="0"/>
              <w:snapToGrid w:val="0"/>
              <w:spacing w:before="0" w:beforeAutospacing="0" w:after="0" w:afterAutospacing="0"/>
              <w:jc w:val="center"/>
              <w:rPr>
                <w:rFonts w:ascii="Times New Roman" w:hAnsi="Times New Roman"/>
                <w:kern w:val="2"/>
                <w:szCs w:val="24"/>
              </w:rPr>
            </w:pPr>
            <w:r>
              <w:rPr>
                <w:rFonts w:ascii="Times New Roman" w:hAnsi="Times New Roman"/>
                <w:kern w:val="2"/>
                <w:szCs w:val="24"/>
              </w:rPr>
              <w:t>护措</w:t>
            </w:r>
          </w:p>
          <w:p>
            <w:pPr>
              <w:pStyle w:val="21"/>
              <w:adjustRightInd w:val="0"/>
              <w:snapToGrid w:val="0"/>
              <w:spacing w:before="0" w:beforeAutospacing="0" w:after="0" w:afterAutospacing="0"/>
              <w:jc w:val="center"/>
              <w:rPr>
                <w:rFonts w:ascii="Times New Roman" w:hAnsi="Times New Roman"/>
                <w:bCs/>
                <w:kern w:val="2"/>
                <w:szCs w:val="24"/>
                <w:highlight w:val="cyan"/>
              </w:rPr>
            </w:pPr>
            <w:r>
              <w:rPr>
                <w:rFonts w:ascii="Times New Roman" w:hAnsi="Times New Roman"/>
                <w:kern w:val="2"/>
                <w:szCs w:val="24"/>
              </w:rPr>
              <w:t>施</w:t>
            </w:r>
          </w:p>
        </w:tc>
        <w:tc>
          <w:tcPr>
            <w:tcW w:w="8162" w:type="dxa"/>
          </w:tcPr>
          <w:p>
            <w:pPr>
              <w:widowControl/>
              <w:tabs>
                <w:tab w:val="left" w:pos="930"/>
              </w:tabs>
              <w:adjustRightInd w:val="0"/>
              <w:snapToGrid w:val="0"/>
              <w:spacing w:line="520" w:lineRule="exact"/>
              <w:ind w:firstLine="480" w:firstLineChars="200"/>
              <w:jc w:val="left"/>
              <w:rPr>
                <w:iCs/>
                <w:color w:val="000000"/>
                <w:kern w:val="0"/>
                <w:sz w:val="24"/>
              </w:rPr>
            </w:pPr>
            <w:r>
              <w:rPr>
                <w:rFonts w:hint="eastAsia"/>
                <w:iCs/>
                <w:color w:val="000000"/>
                <w:kern w:val="0"/>
                <w:sz w:val="24"/>
              </w:rPr>
              <w:t>本项目租赁场地已有1座钢结构厂房（1#），施工期主要建设1座钢结构厂房（2#），以及生产设施及环保设施的安装等，工程量较小。</w:t>
            </w:r>
          </w:p>
          <w:p>
            <w:pPr>
              <w:widowControl/>
              <w:tabs>
                <w:tab w:val="left" w:pos="930"/>
              </w:tabs>
              <w:adjustRightInd w:val="0"/>
              <w:snapToGrid w:val="0"/>
              <w:spacing w:line="520" w:lineRule="exact"/>
              <w:ind w:firstLine="480" w:firstLineChars="200"/>
              <w:jc w:val="left"/>
              <w:rPr>
                <w:iCs/>
                <w:color w:val="000000"/>
                <w:kern w:val="0"/>
                <w:sz w:val="24"/>
              </w:rPr>
            </w:pPr>
            <w:r>
              <w:rPr>
                <w:iCs/>
                <w:color w:val="000000"/>
                <w:kern w:val="0"/>
                <w:sz w:val="24"/>
              </w:rPr>
              <w:t>4.1.1</w:t>
            </w:r>
            <w:r>
              <w:rPr>
                <w:rFonts w:hint="eastAsia"/>
                <w:iCs/>
                <w:color w:val="000000"/>
                <w:kern w:val="0"/>
                <w:sz w:val="24"/>
              </w:rPr>
              <w:t>施工扬尘影响分析</w:t>
            </w:r>
          </w:p>
          <w:p>
            <w:pPr>
              <w:widowControl/>
              <w:tabs>
                <w:tab w:val="left" w:pos="930"/>
              </w:tabs>
              <w:adjustRightInd w:val="0"/>
              <w:snapToGrid w:val="0"/>
              <w:spacing w:line="520" w:lineRule="exact"/>
              <w:ind w:firstLine="480" w:firstLineChars="200"/>
              <w:jc w:val="left"/>
              <w:rPr>
                <w:iCs/>
                <w:color w:val="000000"/>
                <w:kern w:val="0"/>
                <w:sz w:val="24"/>
              </w:rPr>
            </w:pPr>
            <w:r>
              <w:rPr>
                <w:rFonts w:hint="eastAsia"/>
                <w:iCs/>
                <w:color w:val="000000"/>
                <w:kern w:val="0"/>
                <w:sz w:val="24"/>
              </w:rPr>
              <w:t>施工场地建筑材料堆放、装卸及运输等施工扬尘是造成扬尘主要原因之一。为了防治施工期间项目建设可能产生的扬尘污染，要求建设单位严格按照《防治城市扬尘污染技术规范》（HJ/T393-2007）、《陕西省建筑施工扬尘治理行动方案》等文件要求，严格按照“6个100%”和“7个到位”管理标准，合理规划、科学管理，切实按照环评提出的措施及当地环保局有关规定执行。</w:t>
            </w:r>
          </w:p>
          <w:p>
            <w:pPr>
              <w:widowControl/>
              <w:tabs>
                <w:tab w:val="left" w:pos="930"/>
              </w:tabs>
              <w:adjustRightInd w:val="0"/>
              <w:snapToGrid w:val="0"/>
              <w:spacing w:line="520" w:lineRule="exact"/>
              <w:ind w:firstLine="480" w:firstLineChars="200"/>
              <w:jc w:val="left"/>
              <w:rPr>
                <w:iCs/>
                <w:color w:val="000000"/>
                <w:kern w:val="0"/>
                <w:sz w:val="24"/>
              </w:rPr>
            </w:pPr>
            <w:r>
              <w:rPr>
                <w:rFonts w:hint="eastAsia"/>
                <w:iCs/>
                <w:color w:val="000000"/>
                <w:kern w:val="0"/>
                <w:sz w:val="24"/>
              </w:rPr>
              <w:t>通过采取相应措施后项目施工期扬尘能够满足《施工场界扬尘排放限值》（DB61/1078-2017）相关排放限值，且施工期短暂，施工量较小，施工期废气对环境影响很小。</w:t>
            </w:r>
          </w:p>
          <w:p>
            <w:pPr>
              <w:widowControl/>
              <w:tabs>
                <w:tab w:val="left" w:pos="930"/>
              </w:tabs>
              <w:adjustRightInd w:val="0"/>
              <w:snapToGrid w:val="0"/>
              <w:spacing w:line="520" w:lineRule="exact"/>
              <w:ind w:firstLine="480" w:firstLineChars="200"/>
              <w:jc w:val="left"/>
              <w:rPr>
                <w:iCs/>
                <w:color w:val="000000"/>
                <w:kern w:val="0"/>
                <w:sz w:val="24"/>
              </w:rPr>
            </w:pPr>
            <w:r>
              <w:rPr>
                <w:iCs/>
                <w:color w:val="000000"/>
                <w:kern w:val="0"/>
                <w:sz w:val="24"/>
              </w:rPr>
              <w:t>4.1.2</w:t>
            </w:r>
            <w:r>
              <w:rPr>
                <w:rFonts w:hint="eastAsia"/>
                <w:iCs/>
                <w:color w:val="000000"/>
                <w:kern w:val="0"/>
                <w:sz w:val="24"/>
              </w:rPr>
              <w:t>施工期废水影响分析</w:t>
            </w:r>
          </w:p>
          <w:p>
            <w:pPr>
              <w:widowControl/>
              <w:tabs>
                <w:tab w:val="left" w:pos="930"/>
              </w:tabs>
              <w:adjustRightInd w:val="0"/>
              <w:snapToGrid w:val="0"/>
              <w:spacing w:line="520" w:lineRule="exact"/>
              <w:ind w:firstLine="480" w:firstLineChars="200"/>
              <w:jc w:val="left"/>
              <w:rPr>
                <w:iCs/>
                <w:color w:val="000000"/>
                <w:kern w:val="0"/>
                <w:sz w:val="24"/>
              </w:rPr>
            </w:pPr>
            <w:r>
              <w:rPr>
                <w:rFonts w:hint="eastAsia"/>
                <w:iCs/>
                <w:color w:val="000000"/>
                <w:kern w:val="0"/>
                <w:sz w:val="24"/>
              </w:rPr>
              <w:t>（1）施工废水</w:t>
            </w:r>
          </w:p>
          <w:p>
            <w:pPr>
              <w:widowControl/>
              <w:tabs>
                <w:tab w:val="left" w:pos="930"/>
              </w:tabs>
              <w:adjustRightInd w:val="0"/>
              <w:snapToGrid w:val="0"/>
              <w:spacing w:line="520" w:lineRule="exact"/>
              <w:ind w:firstLine="480" w:firstLineChars="200"/>
              <w:jc w:val="left"/>
              <w:rPr>
                <w:iCs/>
                <w:color w:val="000000"/>
                <w:kern w:val="0"/>
                <w:sz w:val="24"/>
              </w:rPr>
            </w:pPr>
            <w:r>
              <w:rPr>
                <w:rFonts w:hint="eastAsia"/>
                <w:iCs/>
                <w:color w:val="000000"/>
                <w:kern w:val="0"/>
                <w:sz w:val="24"/>
              </w:rPr>
              <w:t>施工废水主要包括混凝土养护排水及各种车辆冲洗水。废水产生量较小，为避免施工废水排放对环境产生不良影响，在施工现场设简易的沉淀池处理，废水经沉淀处理后循环使用，回用于道路、场地洒水降尘等，不对外排放，对周围水环境影响较小。</w:t>
            </w:r>
          </w:p>
          <w:p>
            <w:pPr>
              <w:widowControl/>
              <w:tabs>
                <w:tab w:val="left" w:pos="930"/>
              </w:tabs>
              <w:adjustRightInd w:val="0"/>
              <w:snapToGrid w:val="0"/>
              <w:spacing w:line="520" w:lineRule="exact"/>
              <w:ind w:firstLine="480" w:firstLineChars="200"/>
              <w:jc w:val="left"/>
              <w:rPr>
                <w:iCs/>
                <w:color w:val="000000"/>
                <w:kern w:val="0"/>
                <w:sz w:val="24"/>
              </w:rPr>
            </w:pPr>
            <w:r>
              <w:rPr>
                <w:rFonts w:hint="eastAsia"/>
                <w:iCs/>
                <w:color w:val="000000"/>
                <w:kern w:val="0"/>
                <w:sz w:val="24"/>
              </w:rPr>
              <w:t>施工期生活盥洗水经沉淀池收集后用于路面洒水抑尘，如厕废水排入防渗旱厕，由附近村民定期清掏外运肥田。施工期废水对地表水环境影响较小。</w:t>
            </w:r>
          </w:p>
          <w:p>
            <w:pPr>
              <w:widowControl/>
              <w:tabs>
                <w:tab w:val="left" w:pos="930"/>
              </w:tabs>
              <w:adjustRightInd w:val="0"/>
              <w:snapToGrid w:val="0"/>
              <w:spacing w:line="520" w:lineRule="exact"/>
              <w:ind w:firstLine="480" w:firstLineChars="200"/>
              <w:jc w:val="left"/>
              <w:rPr>
                <w:iCs/>
                <w:color w:val="000000"/>
                <w:kern w:val="0"/>
                <w:sz w:val="24"/>
              </w:rPr>
            </w:pPr>
            <w:r>
              <w:rPr>
                <w:iCs/>
                <w:color w:val="000000"/>
                <w:kern w:val="0"/>
                <w:sz w:val="24"/>
              </w:rPr>
              <w:t>4.1.3</w:t>
            </w:r>
            <w:r>
              <w:rPr>
                <w:rFonts w:hint="eastAsia"/>
                <w:iCs/>
                <w:color w:val="000000"/>
                <w:kern w:val="0"/>
                <w:sz w:val="24"/>
              </w:rPr>
              <w:t>施工期噪声影响分析</w:t>
            </w:r>
          </w:p>
          <w:p>
            <w:pPr>
              <w:widowControl/>
              <w:tabs>
                <w:tab w:val="left" w:pos="930"/>
              </w:tabs>
              <w:adjustRightInd w:val="0"/>
              <w:snapToGrid w:val="0"/>
              <w:spacing w:line="520" w:lineRule="exact"/>
              <w:ind w:firstLine="480" w:firstLineChars="200"/>
              <w:jc w:val="left"/>
              <w:rPr>
                <w:iCs/>
                <w:color w:val="000000"/>
                <w:kern w:val="0"/>
                <w:sz w:val="24"/>
              </w:rPr>
            </w:pPr>
            <w:r>
              <w:rPr>
                <w:iCs/>
                <w:color w:val="000000"/>
                <w:kern w:val="0"/>
                <w:sz w:val="24"/>
              </w:rPr>
              <w:t>施工期噪声主要包括来自施工机械设备噪声、运输车辆噪声</w:t>
            </w:r>
            <w:r>
              <w:rPr>
                <w:rFonts w:hint="eastAsia"/>
                <w:iCs/>
                <w:color w:val="000000"/>
                <w:kern w:val="0"/>
                <w:sz w:val="24"/>
              </w:rPr>
              <w:t>，仅在施工阶段产生，随着施工的结束而消失。要求采取以下措施：</w:t>
            </w:r>
          </w:p>
          <w:p>
            <w:pPr>
              <w:widowControl/>
              <w:tabs>
                <w:tab w:val="left" w:pos="930"/>
              </w:tabs>
              <w:adjustRightInd w:val="0"/>
              <w:snapToGrid w:val="0"/>
              <w:spacing w:line="520" w:lineRule="exact"/>
              <w:ind w:firstLine="480" w:firstLineChars="200"/>
              <w:jc w:val="left"/>
              <w:rPr>
                <w:iCs/>
                <w:color w:val="000000"/>
                <w:kern w:val="0"/>
                <w:sz w:val="24"/>
              </w:rPr>
            </w:pPr>
            <w:r>
              <w:rPr>
                <w:rFonts w:hint="eastAsia"/>
                <w:iCs/>
                <w:color w:val="000000"/>
                <w:kern w:val="0"/>
                <w:sz w:val="24"/>
              </w:rPr>
              <w:t>①</w:t>
            </w:r>
            <w:r>
              <w:rPr>
                <w:iCs/>
                <w:color w:val="000000"/>
                <w:kern w:val="0"/>
                <w:sz w:val="24"/>
              </w:rPr>
              <w:t>通过合理布局施工机械，以降低施工过程对外环境的影响。</w:t>
            </w:r>
          </w:p>
          <w:p>
            <w:pPr>
              <w:widowControl/>
              <w:tabs>
                <w:tab w:val="left" w:pos="930"/>
              </w:tabs>
              <w:adjustRightInd w:val="0"/>
              <w:snapToGrid w:val="0"/>
              <w:spacing w:line="520" w:lineRule="exact"/>
              <w:ind w:firstLine="480" w:firstLineChars="200"/>
              <w:jc w:val="left"/>
              <w:rPr>
                <w:iCs/>
                <w:color w:val="000000"/>
                <w:kern w:val="0"/>
                <w:sz w:val="24"/>
              </w:rPr>
            </w:pPr>
            <w:r>
              <w:rPr>
                <w:rFonts w:hint="eastAsia"/>
                <w:iCs/>
                <w:color w:val="000000"/>
                <w:kern w:val="0"/>
                <w:sz w:val="24"/>
              </w:rPr>
              <w:t>②合理安排施工计划。</w:t>
            </w:r>
          </w:p>
          <w:p>
            <w:pPr>
              <w:widowControl/>
              <w:tabs>
                <w:tab w:val="left" w:pos="930"/>
              </w:tabs>
              <w:adjustRightInd w:val="0"/>
              <w:snapToGrid w:val="0"/>
              <w:spacing w:line="520" w:lineRule="exact"/>
              <w:ind w:firstLine="480" w:firstLineChars="200"/>
              <w:jc w:val="left"/>
              <w:rPr>
                <w:iCs/>
                <w:color w:val="000000"/>
                <w:kern w:val="0"/>
                <w:sz w:val="24"/>
              </w:rPr>
            </w:pPr>
            <w:r>
              <w:rPr>
                <w:rFonts w:hint="eastAsia"/>
                <w:iCs/>
                <w:color w:val="000000"/>
                <w:kern w:val="0"/>
                <w:sz w:val="24"/>
              </w:rPr>
              <w:t>③</w:t>
            </w:r>
            <w:r>
              <w:rPr>
                <w:iCs/>
                <w:color w:val="000000"/>
                <w:kern w:val="0"/>
                <w:sz w:val="24"/>
              </w:rPr>
              <w:t>在施工过程中，选用低噪声设备或带隔声、消声的设备</w:t>
            </w:r>
            <w:r>
              <w:rPr>
                <w:rFonts w:hint="eastAsia"/>
                <w:iCs/>
                <w:color w:val="000000"/>
                <w:kern w:val="0"/>
                <w:sz w:val="24"/>
              </w:rPr>
              <w:t>，并</w:t>
            </w:r>
            <w:r>
              <w:rPr>
                <w:iCs/>
                <w:color w:val="000000"/>
                <w:kern w:val="0"/>
                <w:sz w:val="24"/>
              </w:rPr>
              <w:t>采取隔振降噪声措施。</w:t>
            </w:r>
          </w:p>
          <w:p>
            <w:pPr>
              <w:widowControl/>
              <w:tabs>
                <w:tab w:val="left" w:pos="930"/>
              </w:tabs>
              <w:adjustRightInd w:val="0"/>
              <w:snapToGrid w:val="0"/>
              <w:spacing w:line="520" w:lineRule="exact"/>
              <w:ind w:firstLine="480" w:firstLineChars="200"/>
              <w:jc w:val="left"/>
              <w:rPr>
                <w:iCs/>
                <w:color w:val="000000"/>
                <w:kern w:val="0"/>
                <w:sz w:val="24"/>
              </w:rPr>
            </w:pPr>
            <w:r>
              <w:rPr>
                <w:rFonts w:hint="eastAsia"/>
                <w:iCs/>
                <w:color w:val="000000"/>
                <w:kern w:val="0"/>
                <w:sz w:val="24"/>
              </w:rPr>
              <w:t>④</w:t>
            </w:r>
            <w:r>
              <w:rPr>
                <w:iCs/>
                <w:color w:val="000000"/>
                <w:kern w:val="0"/>
                <w:sz w:val="24"/>
              </w:rPr>
              <w:t>加强施工现场运输管理，在所经过的</w:t>
            </w:r>
            <w:r>
              <w:rPr>
                <w:rFonts w:hint="eastAsia"/>
                <w:iCs/>
                <w:color w:val="000000"/>
                <w:kern w:val="0"/>
                <w:sz w:val="24"/>
              </w:rPr>
              <w:t>公</w:t>
            </w:r>
            <w:r>
              <w:rPr>
                <w:iCs/>
                <w:color w:val="000000"/>
                <w:kern w:val="0"/>
                <w:sz w:val="24"/>
              </w:rPr>
              <w:t>路禁止鸣笛，以免影响沿途居民的正常生活。</w:t>
            </w:r>
          </w:p>
          <w:p>
            <w:pPr>
              <w:widowControl/>
              <w:tabs>
                <w:tab w:val="left" w:pos="930"/>
              </w:tabs>
              <w:adjustRightInd w:val="0"/>
              <w:snapToGrid w:val="0"/>
              <w:spacing w:line="520" w:lineRule="exact"/>
              <w:ind w:firstLine="480" w:firstLineChars="200"/>
              <w:jc w:val="left"/>
              <w:rPr>
                <w:iCs/>
                <w:color w:val="000000"/>
                <w:kern w:val="0"/>
                <w:sz w:val="24"/>
              </w:rPr>
            </w:pPr>
            <w:r>
              <w:rPr>
                <w:iCs/>
                <w:color w:val="000000"/>
                <w:kern w:val="0"/>
                <w:sz w:val="24"/>
              </w:rPr>
              <w:t>采取以上相应防噪措施后，施工期噪声对周围影响较小</w:t>
            </w:r>
            <w:r>
              <w:rPr>
                <w:rFonts w:hint="eastAsia"/>
                <w:iCs/>
                <w:color w:val="000000"/>
                <w:kern w:val="0"/>
                <w:sz w:val="24"/>
              </w:rPr>
              <w:t>，</w:t>
            </w:r>
            <w:r>
              <w:rPr>
                <w:iCs/>
                <w:color w:val="000000"/>
                <w:kern w:val="0"/>
                <w:sz w:val="24"/>
              </w:rPr>
              <w:t>并随着施工期的结束而消失，对环境的影响不大。</w:t>
            </w:r>
          </w:p>
          <w:p>
            <w:pPr>
              <w:widowControl/>
              <w:tabs>
                <w:tab w:val="left" w:pos="930"/>
              </w:tabs>
              <w:adjustRightInd w:val="0"/>
              <w:snapToGrid w:val="0"/>
              <w:spacing w:line="520" w:lineRule="exact"/>
              <w:ind w:firstLine="480" w:firstLineChars="200"/>
              <w:jc w:val="left"/>
              <w:rPr>
                <w:iCs/>
                <w:color w:val="000000"/>
                <w:kern w:val="0"/>
                <w:sz w:val="24"/>
              </w:rPr>
            </w:pPr>
            <w:r>
              <w:rPr>
                <w:iCs/>
                <w:color w:val="000000"/>
                <w:kern w:val="0"/>
                <w:sz w:val="24"/>
              </w:rPr>
              <w:t>4.1.4</w:t>
            </w:r>
            <w:r>
              <w:rPr>
                <w:rFonts w:hint="eastAsia"/>
                <w:iCs/>
                <w:color w:val="000000"/>
                <w:kern w:val="0"/>
                <w:sz w:val="24"/>
              </w:rPr>
              <w:t>施工期固体废物影响分析</w:t>
            </w:r>
          </w:p>
          <w:p>
            <w:pPr>
              <w:widowControl/>
              <w:tabs>
                <w:tab w:val="left" w:pos="930"/>
              </w:tabs>
              <w:adjustRightInd w:val="0"/>
              <w:snapToGrid w:val="0"/>
              <w:spacing w:line="520" w:lineRule="exact"/>
              <w:ind w:firstLine="480" w:firstLineChars="200"/>
              <w:jc w:val="left"/>
              <w:rPr>
                <w:iCs/>
                <w:color w:val="000000"/>
                <w:kern w:val="0"/>
                <w:sz w:val="24"/>
              </w:rPr>
            </w:pPr>
            <w:r>
              <w:rPr>
                <w:iCs/>
                <w:color w:val="000000"/>
                <w:kern w:val="0"/>
                <w:sz w:val="24"/>
              </w:rPr>
              <w:t>项目建设过程中会产生一定量的建筑垃圾，建筑垃圾收集后</w:t>
            </w:r>
            <w:r>
              <w:rPr>
                <w:rFonts w:hint="eastAsia"/>
                <w:iCs/>
                <w:color w:val="000000"/>
                <w:kern w:val="0"/>
                <w:sz w:val="24"/>
              </w:rPr>
              <w:t>，可以用于生产的划定区域暂存，并覆盖防尘，不能使用的</w:t>
            </w:r>
            <w:r>
              <w:rPr>
                <w:iCs/>
                <w:color w:val="000000"/>
                <w:kern w:val="0"/>
                <w:sz w:val="24"/>
              </w:rPr>
              <w:t>由施工方统一清运。</w:t>
            </w:r>
          </w:p>
          <w:p>
            <w:pPr>
              <w:widowControl/>
              <w:tabs>
                <w:tab w:val="left" w:pos="930"/>
              </w:tabs>
              <w:adjustRightInd w:val="0"/>
              <w:snapToGrid w:val="0"/>
              <w:spacing w:line="520" w:lineRule="exact"/>
              <w:ind w:firstLine="480" w:firstLineChars="200"/>
              <w:jc w:val="left"/>
              <w:rPr>
                <w:iCs/>
                <w:color w:val="000000"/>
                <w:kern w:val="0"/>
                <w:sz w:val="24"/>
              </w:rPr>
            </w:pPr>
            <w:r>
              <w:rPr>
                <w:iCs/>
                <w:color w:val="000000"/>
                <w:kern w:val="0"/>
                <w:sz w:val="24"/>
              </w:rPr>
              <w:t>施工人员生活垃圾定点收集，由环卫部门统一处理。</w:t>
            </w:r>
          </w:p>
          <w:p>
            <w:pPr>
              <w:widowControl/>
              <w:tabs>
                <w:tab w:val="left" w:pos="930"/>
              </w:tabs>
              <w:adjustRightInd w:val="0"/>
              <w:snapToGrid w:val="0"/>
              <w:spacing w:line="520" w:lineRule="exact"/>
              <w:ind w:firstLine="480" w:firstLineChars="200"/>
              <w:jc w:val="left"/>
              <w:rPr>
                <w:iCs/>
                <w:color w:val="000000"/>
                <w:kern w:val="0"/>
                <w:sz w:val="24"/>
              </w:rPr>
            </w:pPr>
            <w:r>
              <w:rPr>
                <w:iCs/>
                <w:color w:val="000000"/>
                <w:kern w:val="0"/>
                <w:sz w:val="24"/>
              </w:rPr>
              <w:t>采取上述措施后，施工期</w:t>
            </w:r>
            <w:r>
              <w:rPr>
                <w:rFonts w:hint="eastAsia"/>
                <w:iCs/>
                <w:color w:val="000000"/>
                <w:kern w:val="0"/>
                <w:sz w:val="24"/>
              </w:rPr>
              <w:t>固体废物</w:t>
            </w:r>
            <w:r>
              <w:rPr>
                <w:iCs/>
                <w:color w:val="000000"/>
                <w:kern w:val="0"/>
                <w:sz w:val="24"/>
              </w:rPr>
              <w:t>基本可得到妥善处置，</w:t>
            </w:r>
            <w:r>
              <w:rPr>
                <w:rFonts w:hint="eastAsia"/>
                <w:iCs/>
                <w:color w:val="000000"/>
                <w:kern w:val="0"/>
                <w:sz w:val="24"/>
              </w:rPr>
              <w:t>并</w:t>
            </w:r>
            <w:r>
              <w:rPr>
                <w:iCs/>
                <w:color w:val="000000"/>
                <w:kern w:val="0"/>
                <w:sz w:val="24"/>
              </w:rPr>
              <w:t>随着施工过程的结束，该污染环节也将随之消失</w:t>
            </w:r>
            <w:r>
              <w:rPr>
                <w:rFonts w:hint="eastAsia"/>
                <w:iCs/>
                <w:color w:val="000000"/>
                <w:kern w:val="0"/>
                <w:sz w:val="24"/>
              </w:rPr>
              <w:t>，</w:t>
            </w:r>
            <w:r>
              <w:rPr>
                <w:iCs/>
                <w:color w:val="000000"/>
                <w:kern w:val="0"/>
                <w:sz w:val="24"/>
              </w:rPr>
              <w:t>对环境产生的影响较小。</w:t>
            </w:r>
          </w:p>
          <w:p>
            <w:pPr>
              <w:pStyle w:val="2"/>
              <w:rPr>
                <w:highlight w:val="cyan"/>
              </w:rPr>
            </w:pPr>
          </w:p>
          <w:p>
            <w:pPr>
              <w:rPr>
                <w:highlight w:val="cyan"/>
              </w:rPr>
            </w:pPr>
          </w:p>
          <w:p>
            <w:pPr>
              <w:pStyle w:val="2"/>
              <w:rPr>
                <w:highlight w:val="cyan"/>
              </w:rPr>
            </w:pPr>
          </w:p>
          <w:p>
            <w:pPr>
              <w:rPr>
                <w:highlight w:val="cyan"/>
              </w:rPr>
            </w:pPr>
          </w:p>
          <w:p>
            <w:pPr>
              <w:pStyle w:val="2"/>
              <w:rPr>
                <w:highlight w:val="cyan"/>
              </w:rPr>
            </w:pPr>
          </w:p>
          <w:p>
            <w:pPr>
              <w:rPr>
                <w:highlight w:val="cyan"/>
              </w:rPr>
            </w:pPr>
          </w:p>
          <w:p>
            <w:pPr>
              <w:pStyle w:val="2"/>
              <w:rPr>
                <w:highlight w:val="cyan"/>
              </w:rPr>
            </w:pPr>
          </w:p>
          <w:p>
            <w:pPr>
              <w:rPr>
                <w:highlight w:val="cyan"/>
              </w:rPr>
            </w:pPr>
          </w:p>
          <w:p>
            <w:pPr>
              <w:pStyle w:val="2"/>
              <w:rPr>
                <w:highlight w:val="cyan"/>
              </w:rPr>
            </w:pPr>
          </w:p>
          <w:p>
            <w:pPr>
              <w:rPr>
                <w:highlight w:val="cyan"/>
              </w:rPr>
            </w:pPr>
          </w:p>
          <w:p>
            <w:pPr>
              <w:pStyle w:val="2"/>
              <w:rPr>
                <w:highlight w:val="cyan"/>
              </w:rPr>
            </w:pPr>
          </w:p>
          <w:p>
            <w:pPr>
              <w:rPr>
                <w:highlight w:val="cyan"/>
              </w:rPr>
            </w:pPr>
          </w:p>
          <w:p>
            <w:pPr>
              <w:pStyle w:val="2"/>
              <w:rPr>
                <w:highlight w:val="cyan"/>
              </w:rPr>
            </w:pPr>
          </w:p>
          <w:p>
            <w:pPr>
              <w:rPr>
                <w:highlight w:val="cyan"/>
              </w:rPr>
            </w:pPr>
          </w:p>
          <w:p>
            <w:pPr>
              <w:pStyle w:val="2"/>
              <w:rPr>
                <w:highlight w:val="cyan"/>
              </w:rPr>
            </w:pPr>
          </w:p>
          <w:p>
            <w:pPr>
              <w:rPr>
                <w:highlight w:val="cyan"/>
              </w:rPr>
            </w:pPr>
          </w:p>
          <w:p>
            <w:pPr>
              <w:pStyle w:val="2"/>
              <w:rPr>
                <w:highlight w:val="cyan"/>
              </w:rPr>
            </w:pPr>
          </w:p>
          <w:p>
            <w:pPr>
              <w:rPr>
                <w:highlight w:val="cyan"/>
              </w:rPr>
            </w:pPr>
          </w:p>
          <w:p>
            <w:pPr>
              <w:pStyle w:val="2"/>
              <w:rPr>
                <w:highlight w:val="cyan"/>
              </w:rPr>
            </w:pPr>
          </w:p>
          <w:p>
            <w:pPr>
              <w:rPr>
                <w:highlight w:val="cyan"/>
              </w:rPr>
            </w:pPr>
          </w:p>
          <w:p>
            <w:pPr>
              <w:pStyle w:val="2"/>
              <w:rPr>
                <w:highlight w:val="cyan"/>
              </w:rPr>
            </w:pPr>
          </w:p>
          <w:p>
            <w:pPr>
              <w:rPr>
                <w:highlight w:val="cyan"/>
              </w:rPr>
            </w:pPr>
          </w:p>
          <w:p>
            <w:pPr>
              <w:pStyle w:val="2"/>
              <w:rPr>
                <w:highlight w:val="cy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22" w:hRule="atLeast"/>
          <w:jc w:val="center"/>
        </w:trPr>
        <w:tc>
          <w:tcPr>
            <w:tcW w:w="746" w:type="dxa"/>
            <w:tcMar>
              <w:left w:w="28" w:type="dxa"/>
              <w:right w:w="28" w:type="dxa"/>
            </w:tcMar>
            <w:vAlign w:val="center"/>
          </w:tcPr>
          <w:p>
            <w:pPr>
              <w:adjustRightInd w:val="0"/>
              <w:snapToGrid w:val="0"/>
              <w:jc w:val="center"/>
              <w:rPr>
                <w:bCs/>
                <w:sz w:val="24"/>
              </w:rPr>
            </w:pPr>
            <w:r>
              <w:rPr>
                <w:bCs/>
                <w:sz w:val="24"/>
              </w:rPr>
              <w:t>运营</w:t>
            </w:r>
          </w:p>
          <w:p>
            <w:pPr>
              <w:adjustRightInd w:val="0"/>
              <w:snapToGrid w:val="0"/>
              <w:jc w:val="center"/>
              <w:rPr>
                <w:bCs/>
                <w:sz w:val="24"/>
              </w:rPr>
            </w:pPr>
            <w:r>
              <w:rPr>
                <w:bCs/>
                <w:sz w:val="24"/>
              </w:rPr>
              <w:t>期环</w:t>
            </w:r>
          </w:p>
          <w:p>
            <w:pPr>
              <w:adjustRightInd w:val="0"/>
              <w:snapToGrid w:val="0"/>
              <w:jc w:val="center"/>
              <w:rPr>
                <w:bCs/>
                <w:sz w:val="24"/>
              </w:rPr>
            </w:pPr>
            <w:r>
              <w:rPr>
                <w:bCs/>
                <w:sz w:val="24"/>
              </w:rPr>
              <w:t>境影</w:t>
            </w:r>
          </w:p>
          <w:p>
            <w:pPr>
              <w:adjustRightInd w:val="0"/>
              <w:snapToGrid w:val="0"/>
              <w:jc w:val="center"/>
              <w:rPr>
                <w:bCs/>
                <w:sz w:val="24"/>
              </w:rPr>
            </w:pPr>
            <w:r>
              <w:rPr>
                <w:bCs/>
                <w:sz w:val="24"/>
              </w:rPr>
              <w:t>响和</w:t>
            </w:r>
          </w:p>
          <w:p>
            <w:pPr>
              <w:adjustRightInd w:val="0"/>
              <w:snapToGrid w:val="0"/>
              <w:jc w:val="center"/>
              <w:rPr>
                <w:bCs/>
                <w:sz w:val="24"/>
              </w:rPr>
            </w:pPr>
            <w:r>
              <w:rPr>
                <w:bCs/>
                <w:sz w:val="24"/>
              </w:rPr>
              <w:t>保护</w:t>
            </w:r>
          </w:p>
          <w:p>
            <w:pPr>
              <w:adjustRightInd w:val="0"/>
              <w:snapToGrid w:val="0"/>
              <w:jc w:val="center"/>
              <w:rPr>
                <w:bCs/>
                <w:sz w:val="24"/>
                <w:highlight w:val="cyan"/>
              </w:rPr>
            </w:pPr>
            <w:r>
              <w:rPr>
                <w:bCs/>
                <w:sz w:val="24"/>
              </w:rPr>
              <w:t>措施</w:t>
            </w:r>
          </w:p>
        </w:tc>
        <w:tc>
          <w:tcPr>
            <w:tcW w:w="8162" w:type="dxa"/>
            <w:vAlign w:val="center"/>
          </w:tcPr>
          <w:p>
            <w:pPr>
              <w:spacing w:line="360" w:lineRule="auto"/>
              <w:ind w:firstLine="482" w:firstLineChars="200"/>
              <w:rPr>
                <w:b/>
                <w:bCs/>
                <w:sz w:val="24"/>
              </w:rPr>
            </w:pPr>
            <w:r>
              <w:rPr>
                <w:b/>
                <w:bCs/>
                <w:sz w:val="24"/>
              </w:rPr>
              <w:t>4.2.1</w:t>
            </w:r>
            <w:r>
              <w:rPr>
                <w:rFonts w:hint="eastAsia"/>
                <w:b/>
                <w:bCs/>
                <w:sz w:val="24"/>
              </w:rPr>
              <w:t>环境空气影响分析</w:t>
            </w:r>
          </w:p>
          <w:p>
            <w:pPr>
              <w:spacing w:line="360" w:lineRule="auto"/>
              <w:ind w:firstLine="480" w:firstLineChars="200"/>
              <w:rPr>
                <w:sz w:val="24"/>
              </w:rPr>
            </w:pPr>
            <w:r>
              <w:rPr>
                <w:sz w:val="24"/>
              </w:rPr>
              <w:t>（1）污染物种类及产排情况</w:t>
            </w:r>
          </w:p>
          <w:p>
            <w:pPr>
              <w:spacing w:line="360" w:lineRule="auto"/>
              <w:ind w:firstLine="480" w:firstLineChars="200"/>
              <w:rPr>
                <w:sz w:val="24"/>
              </w:rPr>
            </w:pPr>
            <w:r>
              <w:rPr>
                <w:sz w:val="24"/>
              </w:rPr>
              <w:t>本项目废气主要为破碎、筛分过程中产生的粉尘、装卸扬尘、堆场扬尘、车辆运输扬尘等。通过对产尘部位安装集气罩和除尘器，并设置水喷淋系统装置等措施，以减少粉尘的产生。</w:t>
            </w:r>
          </w:p>
          <w:p>
            <w:pPr>
              <w:spacing w:line="360" w:lineRule="auto"/>
              <w:ind w:firstLine="480" w:firstLineChars="200"/>
              <w:rPr>
                <w:bCs/>
                <w:sz w:val="24"/>
              </w:rPr>
            </w:pPr>
            <w:r>
              <w:rPr>
                <w:bCs/>
                <w:sz w:val="24"/>
              </w:rPr>
              <w:t>1）有组织排放源</w:t>
            </w:r>
          </w:p>
          <w:p>
            <w:pPr>
              <w:spacing w:line="360" w:lineRule="auto"/>
              <w:ind w:firstLine="480" w:firstLineChars="200"/>
              <w:rPr>
                <w:sz w:val="24"/>
              </w:rPr>
            </w:pPr>
            <w:r>
              <w:rPr>
                <w:bCs/>
                <w:sz w:val="24"/>
              </w:rPr>
              <w:t>本项目有组织废气主要为破碎、筛分工序产生的粉尘。</w:t>
            </w:r>
            <w:r>
              <w:rPr>
                <w:rFonts w:hint="eastAsia"/>
                <w:sz w:val="24"/>
              </w:rPr>
              <w:t>原料</w:t>
            </w:r>
            <w:r>
              <w:rPr>
                <w:sz w:val="24"/>
              </w:rPr>
              <w:t>进入振动</w:t>
            </w:r>
            <w:r>
              <w:rPr>
                <w:rFonts w:hint="eastAsia"/>
                <w:sz w:val="24"/>
              </w:rPr>
              <w:t>给</w:t>
            </w:r>
            <w:r>
              <w:rPr>
                <w:sz w:val="24"/>
              </w:rPr>
              <w:t>料机，进入颚式破碎机进行一次破碎，然后再进入圆锥破碎进行二次破碎，筛分后由传送带下料进入制砂机，制砂完成后通过传送带进入振动筛得到成品。</w:t>
            </w:r>
          </w:p>
          <w:p>
            <w:pPr>
              <w:spacing w:line="360" w:lineRule="auto"/>
              <w:ind w:firstLine="480" w:firstLineChars="200"/>
              <w:rPr>
                <w:sz w:val="24"/>
              </w:rPr>
            </w:pPr>
            <w:r>
              <w:rPr>
                <w:rFonts w:hint="eastAsia"/>
                <w:sz w:val="24"/>
              </w:rPr>
              <w:t>本项目破碎和筛分均在车间内进行，生产工艺采取二级破碎，参考《逸散尘工业粉尘控制技术》（中国环境科学出版社）中粒料加工厂产排污系数，二级破碎筛分的排放因子取 0.</w:t>
            </w:r>
            <w:r>
              <w:rPr>
                <w:sz w:val="24"/>
              </w:rPr>
              <w:t>4</w:t>
            </w:r>
            <w:r>
              <w:rPr>
                <w:rFonts w:hint="eastAsia"/>
                <w:sz w:val="24"/>
              </w:rPr>
              <w:t>5kg/t·破碎料，项目破碎筛分原料为</w:t>
            </w:r>
            <w:r>
              <w:rPr>
                <w:sz w:val="24"/>
              </w:rPr>
              <w:t>25.5</w:t>
            </w:r>
            <w:r>
              <w:rPr>
                <w:rFonts w:hint="eastAsia"/>
                <w:sz w:val="24"/>
              </w:rPr>
              <w:t>万 t/a，则粉尘产生量为</w:t>
            </w:r>
            <w:r>
              <w:rPr>
                <w:sz w:val="24"/>
              </w:rPr>
              <w:t>114.75</w:t>
            </w:r>
            <w:r>
              <w:rPr>
                <w:rFonts w:hint="eastAsia"/>
                <w:sz w:val="24"/>
              </w:rPr>
              <w:t>t/a。</w:t>
            </w:r>
            <w:r>
              <w:rPr>
                <w:sz w:val="24"/>
              </w:rPr>
              <w:cr/>
            </w:r>
            <w:r>
              <w:rPr>
                <w:sz w:val="24"/>
              </w:rPr>
              <w:t xml:space="preserve">    </w:t>
            </w:r>
            <w:r>
              <w:rPr>
                <w:rFonts w:hint="eastAsia"/>
                <w:sz w:val="24"/>
              </w:rPr>
              <w:t>本项目在破碎、筛分工序在密闭厂房，每台设备上均设置有集气罩（收集效率为</w:t>
            </w:r>
            <w:r>
              <w:rPr>
                <w:sz w:val="24"/>
              </w:rPr>
              <w:t>85</w:t>
            </w:r>
            <w:r>
              <w:rPr>
                <w:rFonts w:hint="eastAsia"/>
                <w:sz w:val="24"/>
              </w:rPr>
              <w:t>%）收集粉尘，再由风机引至脉冲布袋除尘器（除尘效率为 9</w:t>
            </w:r>
            <w:r>
              <w:rPr>
                <w:sz w:val="24"/>
              </w:rPr>
              <w:t>9</w:t>
            </w:r>
            <w:r>
              <w:rPr>
                <w:rFonts w:hint="eastAsia"/>
                <w:sz w:val="24"/>
              </w:rPr>
              <w:t>%），对收集的废气进行处理，净化后的气体经 15m 高排气筒排放。项目拟采取的脉冲式布袋除尘器设计风量约为</w:t>
            </w:r>
            <w:r>
              <w:rPr>
                <w:sz w:val="24"/>
              </w:rPr>
              <w:t>40</w:t>
            </w:r>
            <w:r>
              <w:rPr>
                <w:rFonts w:hint="eastAsia"/>
                <w:sz w:val="24"/>
              </w:rPr>
              <w:t>000m</w:t>
            </w:r>
            <w:r>
              <w:rPr>
                <w:rFonts w:hint="eastAsia"/>
                <w:sz w:val="24"/>
                <w:vertAlign w:val="superscript"/>
              </w:rPr>
              <w:t>3</w:t>
            </w:r>
            <w:r>
              <w:rPr>
                <w:rFonts w:hint="eastAsia"/>
                <w:sz w:val="24"/>
              </w:rPr>
              <w:t>/h，破碎、筛分工序年运行</w:t>
            </w:r>
            <w:r>
              <w:rPr>
                <w:sz w:val="24"/>
              </w:rPr>
              <w:t>2880</w:t>
            </w:r>
            <w:r>
              <w:rPr>
                <w:rFonts w:hint="eastAsia"/>
                <w:sz w:val="24"/>
              </w:rPr>
              <w:t>h，经处理后，粉尘有组织排放量</w:t>
            </w:r>
            <w:r>
              <w:rPr>
                <w:sz w:val="24"/>
              </w:rPr>
              <w:t>0.975</w:t>
            </w:r>
            <w:r>
              <w:rPr>
                <w:rFonts w:hint="eastAsia"/>
                <w:sz w:val="24"/>
              </w:rPr>
              <w:t>t/a，排放速率为</w:t>
            </w:r>
            <w:r>
              <w:rPr>
                <w:sz w:val="24"/>
              </w:rPr>
              <w:t>0.34</w:t>
            </w:r>
            <w:r>
              <w:rPr>
                <w:rFonts w:hint="eastAsia"/>
                <w:sz w:val="24"/>
              </w:rPr>
              <w:t>kg/h，排放浓度</w:t>
            </w:r>
            <w:r>
              <w:rPr>
                <w:sz w:val="24"/>
              </w:rPr>
              <w:t>8.46</w:t>
            </w:r>
            <w:r>
              <w:rPr>
                <w:rFonts w:hint="eastAsia"/>
                <w:sz w:val="24"/>
              </w:rPr>
              <w:t>mg/m</w:t>
            </w:r>
            <w:r>
              <w:rPr>
                <w:rFonts w:hint="eastAsia"/>
                <w:sz w:val="24"/>
                <w:vertAlign w:val="superscript"/>
              </w:rPr>
              <w:t>3</w:t>
            </w:r>
            <w:r>
              <w:rPr>
                <w:rFonts w:hint="eastAsia"/>
                <w:sz w:val="24"/>
              </w:rPr>
              <w:t>。</w:t>
            </w:r>
          </w:p>
          <w:p>
            <w:pPr>
              <w:spacing w:before="120" w:beforeLines="50" w:line="360" w:lineRule="auto"/>
              <w:jc w:val="center"/>
              <w:rPr>
                <w:b/>
                <w:bCs/>
                <w:szCs w:val="21"/>
              </w:rPr>
            </w:pPr>
            <w:r>
              <w:rPr>
                <w:b/>
                <w:bCs/>
                <w:szCs w:val="21"/>
              </w:rPr>
              <w:t>表4-1    破碎</w:t>
            </w:r>
            <w:r>
              <w:rPr>
                <w:rFonts w:hint="eastAsia"/>
                <w:b/>
                <w:bCs/>
                <w:szCs w:val="21"/>
              </w:rPr>
              <w:t>筛分</w:t>
            </w:r>
            <w:r>
              <w:rPr>
                <w:b/>
                <w:bCs/>
                <w:szCs w:val="21"/>
              </w:rPr>
              <w:t>废气产排情况一览表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585"/>
              <w:gridCol w:w="3014"/>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3572" w:type="pct"/>
                  <w:gridSpan w:val="3"/>
                  <w:vAlign w:val="center"/>
                </w:tcPr>
                <w:p>
                  <w:pPr>
                    <w:jc w:val="center"/>
                    <w:rPr>
                      <w:szCs w:val="21"/>
                    </w:rPr>
                  </w:pPr>
                  <w:r>
                    <w:rPr>
                      <w:szCs w:val="21"/>
                    </w:rPr>
                    <w:t>排气筒编号</w:t>
                  </w:r>
                </w:p>
              </w:tc>
              <w:tc>
                <w:tcPr>
                  <w:tcW w:w="1428" w:type="pct"/>
                  <w:vAlign w:val="center"/>
                </w:tcPr>
                <w:p>
                  <w:pPr>
                    <w:jc w:val="center"/>
                    <w:rPr>
                      <w:szCs w:val="21"/>
                    </w:rPr>
                  </w:pPr>
                  <w:r>
                    <w:rPr>
                      <w:szCs w:val="21"/>
                    </w:rPr>
                    <w:t>DA001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572" w:type="pct"/>
                  <w:gridSpan w:val="3"/>
                  <w:vAlign w:val="center"/>
                </w:tcPr>
                <w:p>
                  <w:pPr>
                    <w:jc w:val="center"/>
                    <w:rPr>
                      <w:szCs w:val="21"/>
                    </w:rPr>
                  </w:pPr>
                  <w:r>
                    <w:rPr>
                      <w:szCs w:val="21"/>
                    </w:rPr>
                    <w:t>污染物种类</w:t>
                  </w:r>
                </w:p>
              </w:tc>
              <w:tc>
                <w:tcPr>
                  <w:tcW w:w="1428" w:type="pct"/>
                  <w:vAlign w:val="center"/>
                </w:tcPr>
                <w:p>
                  <w:pPr>
                    <w:jc w:val="center"/>
                    <w:rPr>
                      <w:szCs w:val="21"/>
                    </w:rPr>
                  </w:pPr>
                  <w:r>
                    <w:rPr>
                      <w:szCs w:val="21"/>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572" w:type="pct"/>
                  <w:gridSpan w:val="3"/>
                  <w:vAlign w:val="center"/>
                </w:tcPr>
                <w:p>
                  <w:pPr>
                    <w:jc w:val="center"/>
                    <w:rPr>
                      <w:szCs w:val="21"/>
                    </w:rPr>
                  </w:pPr>
                  <w:r>
                    <w:rPr>
                      <w:szCs w:val="21"/>
                    </w:rPr>
                    <w:t>产生量（t/a）</w:t>
                  </w:r>
                </w:p>
              </w:tc>
              <w:tc>
                <w:tcPr>
                  <w:tcW w:w="1428" w:type="pct"/>
                  <w:vAlign w:val="center"/>
                </w:tcPr>
                <w:p>
                  <w:pPr>
                    <w:widowControl/>
                    <w:jc w:val="center"/>
                    <w:textAlignment w:val="center"/>
                    <w:rPr>
                      <w:szCs w:val="21"/>
                    </w:rPr>
                  </w:pPr>
                  <w:r>
                    <w:rPr>
                      <w:kern w:val="0"/>
                      <w:szCs w:val="21"/>
                      <w:lang w:bidi="ar"/>
                    </w:rPr>
                    <w:t>114.75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572" w:type="pct"/>
                  <w:gridSpan w:val="3"/>
                  <w:vAlign w:val="center"/>
                </w:tcPr>
                <w:p>
                  <w:pPr>
                    <w:jc w:val="center"/>
                    <w:rPr>
                      <w:szCs w:val="21"/>
                    </w:rPr>
                  </w:pPr>
                  <w:r>
                    <w:rPr>
                      <w:szCs w:val="21"/>
                    </w:rPr>
                    <w:t>收集效率（%）</w:t>
                  </w:r>
                </w:p>
              </w:tc>
              <w:tc>
                <w:tcPr>
                  <w:tcW w:w="1428" w:type="pct"/>
                  <w:vAlign w:val="center"/>
                </w:tcPr>
                <w:p>
                  <w:pPr>
                    <w:widowControl/>
                    <w:jc w:val="center"/>
                    <w:textAlignment w:val="center"/>
                    <w:rPr>
                      <w:szCs w:val="21"/>
                    </w:rPr>
                  </w:pPr>
                  <w:r>
                    <w:rPr>
                      <w:kern w:val="0"/>
                      <w:szCs w:val="21"/>
                      <w:lang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572" w:type="pct"/>
                  <w:gridSpan w:val="3"/>
                  <w:vAlign w:val="center"/>
                </w:tcPr>
                <w:p>
                  <w:pPr>
                    <w:jc w:val="center"/>
                    <w:rPr>
                      <w:szCs w:val="21"/>
                    </w:rPr>
                  </w:pPr>
                  <w:r>
                    <w:rPr>
                      <w:szCs w:val="21"/>
                    </w:rPr>
                    <w:t>年工作时间（h）</w:t>
                  </w:r>
                </w:p>
              </w:tc>
              <w:tc>
                <w:tcPr>
                  <w:tcW w:w="1428" w:type="pct"/>
                  <w:vAlign w:val="center"/>
                </w:tcPr>
                <w:p>
                  <w:pPr>
                    <w:widowControl/>
                    <w:jc w:val="center"/>
                    <w:textAlignment w:val="center"/>
                    <w:rPr>
                      <w:szCs w:val="21"/>
                    </w:rPr>
                  </w:pPr>
                  <w:r>
                    <w:rPr>
                      <w:kern w:val="0"/>
                      <w:szCs w:val="21"/>
                      <w:lang w:bidi="ar"/>
                    </w:rPr>
                    <w:t>2880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1" w:type="pct"/>
                  <w:vMerge w:val="restart"/>
                  <w:vAlign w:val="center"/>
                </w:tcPr>
                <w:p>
                  <w:pPr>
                    <w:jc w:val="center"/>
                    <w:rPr>
                      <w:szCs w:val="21"/>
                    </w:rPr>
                  </w:pPr>
                  <w:r>
                    <w:rPr>
                      <w:szCs w:val="21"/>
                    </w:rPr>
                    <w:t>有组织</w:t>
                  </w:r>
                </w:p>
              </w:tc>
              <w:tc>
                <w:tcPr>
                  <w:tcW w:w="962" w:type="pct"/>
                  <w:vMerge w:val="restart"/>
                  <w:vAlign w:val="center"/>
                </w:tcPr>
                <w:p>
                  <w:pPr>
                    <w:jc w:val="center"/>
                    <w:rPr>
                      <w:szCs w:val="21"/>
                    </w:rPr>
                  </w:pPr>
                  <w:r>
                    <w:rPr>
                      <w:szCs w:val="21"/>
                    </w:rPr>
                    <w:t>产生情况</w:t>
                  </w:r>
                </w:p>
              </w:tc>
              <w:tc>
                <w:tcPr>
                  <w:tcW w:w="1830" w:type="pct"/>
                  <w:vAlign w:val="center"/>
                </w:tcPr>
                <w:p>
                  <w:pPr>
                    <w:jc w:val="center"/>
                    <w:rPr>
                      <w:szCs w:val="21"/>
                    </w:rPr>
                  </w:pPr>
                  <w:r>
                    <w:rPr>
                      <w:szCs w:val="21"/>
                    </w:rPr>
                    <w:t>产生浓度（mg/m</w:t>
                  </w:r>
                  <w:r>
                    <w:rPr>
                      <w:szCs w:val="21"/>
                      <w:vertAlign w:val="superscript"/>
                    </w:rPr>
                    <w:t>3</w:t>
                  </w:r>
                  <w:r>
                    <w:rPr>
                      <w:szCs w:val="21"/>
                    </w:rPr>
                    <w:t>）</w:t>
                  </w:r>
                </w:p>
              </w:tc>
              <w:tc>
                <w:tcPr>
                  <w:tcW w:w="1428" w:type="pct"/>
                  <w:vAlign w:val="center"/>
                </w:tcPr>
                <w:p>
                  <w:pPr>
                    <w:widowControl/>
                    <w:jc w:val="center"/>
                    <w:textAlignment w:val="center"/>
                    <w:rPr>
                      <w:kern w:val="0"/>
                      <w:szCs w:val="21"/>
                      <w:lang w:bidi="ar"/>
                    </w:rPr>
                  </w:pPr>
                  <w:r>
                    <w:rPr>
                      <w:kern w:val="0"/>
                      <w:szCs w:val="21"/>
                      <w:lang w:bidi="ar"/>
                    </w:rPr>
                    <w:t>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1" w:type="pct"/>
                  <w:vMerge w:val="continue"/>
                  <w:vAlign w:val="center"/>
                </w:tcPr>
                <w:p>
                  <w:pPr>
                    <w:jc w:val="center"/>
                    <w:rPr>
                      <w:szCs w:val="21"/>
                    </w:rPr>
                  </w:pPr>
                </w:p>
              </w:tc>
              <w:tc>
                <w:tcPr>
                  <w:tcW w:w="962" w:type="pct"/>
                  <w:vMerge w:val="continue"/>
                  <w:vAlign w:val="center"/>
                </w:tcPr>
                <w:p>
                  <w:pPr>
                    <w:jc w:val="center"/>
                    <w:rPr>
                      <w:szCs w:val="21"/>
                    </w:rPr>
                  </w:pPr>
                </w:p>
              </w:tc>
              <w:tc>
                <w:tcPr>
                  <w:tcW w:w="1830" w:type="pct"/>
                  <w:vAlign w:val="center"/>
                </w:tcPr>
                <w:p>
                  <w:pPr>
                    <w:jc w:val="center"/>
                    <w:rPr>
                      <w:szCs w:val="21"/>
                    </w:rPr>
                  </w:pPr>
                  <w:r>
                    <w:rPr>
                      <w:szCs w:val="21"/>
                    </w:rPr>
                    <w:t>产生速率（kg/h）</w:t>
                  </w:r>
                </w:p>
              </w:tc>
              <w:tc>
                <w:tcPr>
                  <w:tcW w:w="1428" w:type="pct"/>
                  <w:vAlign w:val="center"/>
                </w:tcPr>
                <w:p>
                  <w:pPr>
                    <w:widowControl/>
                    <w:jc w:val="center"/>
                    <w:textAlignment w:val="center"/>
                    <w:rPr>
                      <w:szCs w:val="21"/>
                    </w:rPr>
                  </w:pPr>
                  <w:r>
                    <w:rPr>
                      <w:kern w:val="0"/>
                      <w:szCs w:val="21"/>
                      <w:lang w:bidi="ar"/>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781" w:type="pct"/>
                  <w:vMerge w:val="continue"/>
                  <w:vAlign w:val="center"/>
                </w:tcPr>
                <w:p>
                  <w:pPr>
                    <w:jc w:val="center"/>
                    <w:rPr>
                      <w:szCs w:val="21"/>
                    </w:rPr>
                  </w:pPr>
                </w:p>
              </w:tc>
              <w:tc>
                <w:tcPr>
                  <w:tcW w:w="962" w:type="pct"/>
                  <w:vMerge w:val="continue"/>
                  <w:vAlign w:val="center"/>
                </w:tcPr>
                <w:p>
                  <w:pPr>
                    <w:jc w:val="center"/>
                    <w:rPr>
                      <w:szCs w:val="21"/>
                    </w:rPr>
                  </w:pPr>
                </w:p>
              </w:tc>
              <w:tc>
                <w:tcPr>
                  <w:tcW w:w="1830" w:type="pct"/>
                  <w:vAlign w:val="center"/>
                </w:tcPr>
                <w:p>
                  <w:pPr>
                    <w:jc w:val="center"/>
                    <w:rPr>
                      <w:szCs w:val="21"/>
                    </w:rPr>
                  </w:pPr>
                  <w:r>
                    <w:rPr>
                      <w:szCs w:val="21"/>
                    </w:rPr>
                    <w:t>产生量（t/a）</w:t>
                  </w:r>
                </w:p>
              </w:tc>
              <w:tc>
                <w:tcPr>
                  <w:tcW w:w="1428" w:type="pct"/>
                  <w:vAlign w:val="center"/>
                </w:tcPr>
                <w:p>
                  <w:pPr>
                    <w:widowControl/>
                    <w:jc w:val="center"/>
                    <w:textAlignment w:val="center"/>
                    <w:rPr>
                      <w:szCs w:val="21"/>
                    </w:rPr>
                  </w:pPr>
                  <w:r>
                    <w:rPr>
                      <w:kern w:val="0"/>
                      <w:szCs w:val="21"/>
                      <w:lang w:bidi="ar"/>
                    </w:rPr>
                    <w:t>97.54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1" w:type="pct"/>
                  <w:vMerge w:val="continue"/>
                  <w:vAlign w:val="center"/>
                </w:tcPr>
                <w:p>
                  <w:pPr>
                    <w:jc w:val="center"/>
                    <w:rPr>
                      <w:szCs w:val="21"/>
                    </w:rPr>
                  </w:pPr>
                </w:p>
              </w:tc>
              <w:tc>
                <w:tcPr>
                  <w:tcW w:w="2791" w:type="pct"/>
                  <w:gridSpan w:val="2"/>
                  <w:vAlign w:val="center"/>
                </w:tcPr>
                <w:p>
                  <w:pPr>
                    <w:jc w:val="center"/>
                    <w:rPr>
                      <w:szCs w:val="21"/>
                    </w:rPr>
                  </w:pPr>
                  <w:r>
                    <w:rPr>
                      <w:szCs w:val="21"/>
                    </w:rPr>
                    <w:t>废气措施去除效率（%）</w:t>
                  </w:r>
                </w:p>
              </w:tc>
              <w:tc>
                <w:tcPr>
                  <w:tcW w:w="1428" w:type="pct"/>
                  <w:vAlign w:val="center"/>
                </w:tcPr>
                <w:p>
                  <w:pPr>
                    <w:widowControl/>
                    <w:jc w:val="center"/>
                    <w:textAlignment w:val="center"/>
                    <w:rPr>
                      <w:szCs w:val="21"/>
                    </w:rPr>
                  </w:pPr>
                  <w:r>
                    <w:rPr>
                      <w:kern w:val="0"/>
                      <w:szCs w:val="21"/>
                      <w:lang w:bidi="ar"/>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1" w:type="pct"/>
                  <w:vMerge w:val="continue"/>
                  <w:vAlign w:val="center"/>
                </w:tcPr>
                <w:p>
                  <w:pPr>
                    <w:jc w:val="center"/>
                    <w:rPr>
                      <w:szCs w:val="21"/>
                    </w:rPr>
                  </w:pPr>
                </w:p>
              </w:tc>
              <w:tc>
                <w:tcPr>
                  <w:tcW w:w="962" w:type="pct"/>
                  <w:vMerge w:val="restart"/>
                  <w:vAlign w:val="center"/>
                </w:tcPr>
                <w:p>
                  <w:pPr>
                    <w:jc w:val="center"/>
                    <w:rPr>
                      <w:szCs w:val="21"/>
                    </w:rPr>
                  </w:pPr>
                  <w:r>
                    <w:rPr>
                      <w:szCs w:val="21"/>
                    </w:rPr>
                    <w:t>排放情况</w:t>
                  </w:r>
                </w:p>
              </w:tc>
              <w:tc>
                <w:tcPr>
                  <w:tcW w:w="1830" w:type="pct"/>
                  <w:vAlign w:val="center"/>
                </w:tcPr>
                <w:p>
                  <w:pPr>
                    <w:jc w:val="center"/>
                    <w:rPr>
                      <w:szCs w:val="21"/>
                    </w:rPr>
                  </w:pPr>
                  <w:r>
                    <w:rPr>
                      <w:szCs w:val="21"/>
                    </w:rPr>
                    <w:t>排放浓度（mg/m</w:t>
                  </w:r>
                  <w:r>
                    <w:rPr>
                      <w:szCs w:val="21"/>
                      <w:vertAlign w:val="superscript"/>
                    </w:rPr>
                    <w:t>3</w:t>
                  </w:r>
                  <w:r>
                    <w:rPr>
                      <w:szCs w:val="21"/>
                    </w:rPr>
                    <w:t>）</w:t>
                  </w:r>
                </w:p>
              </w:tc>
              <w:tc>
                <w:tcPr>
                  <w:tcW w:w="1428" w:type="pct"/>
                  <w:vAlign w:val="center"/>
                </w:tcPr>
                <w:p>
                  <w:pPr>
                    <w:widowControl/>
                    <w:jc w:val="center"/>
                    <w:textAlignment w:val="center"/>
                    <w:rPr>
                      <w:szCs w:val="21"/>
                    </w:rPr>
                  </w:pPr>
                  <w:r>
                    <w:rPr>
                      <w:kern w:val="0"/>
                      <w:szCs w:val="21"/>
                      <w:lang w:bidi="ar"/>
                    </w:rPr>
                    <w:t>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781" w:type="pct"/>
                  <w:vMerge w:val="continue"/>
                  <w:vAlign w:val="center"/>
                </w:tcPr>
                <w:p>
                  <w:pPr>
                    <w:jc w:val="center"/>
                    <w:rPr>
                      <w:szCs w:val="21"/>
                    </w:rPr>
                  </w:pPr>
                </w:p>
              </w:tc>
              <w:tc>
                <w:tcPr>
                  <w:tcW w:w="962" w:type="pct"/>
                  <w:vMerge w:val="continue"/>
                  <w:vAlign w:val="center"/>
                </w:tcPr>
                <w:p>
                  <w:pPr>
                    <w:jc w:val="center"/>
                    <w:rPr>
                      <w:szCs w:val="21"/>
                    </w:rPr>
                  </w:pPr>
                </w:p>
              </w:tc>
              <w:tc>
                <w:tcPr>
                  <w:tcW w:w="1830" w:type="pct"/>
                  <w:vAlign w:val="center"/>
                </w:tcPr>
                <w:p>
                  <w:pPr>
                    <w:jc w:val="center"/>
                    <w:rPr>
                      <w:szCs w:val="21"/>
                    </w:rPr>
                  </w:pPr>
                  <w:r>
                    <w:rPr>
                      <w:szCs w:val="21"/>
                    </w:rPr>
                    <w:t>排放速率（kg/h）</w:t>
                  </w:r>
                </w:p>
              </w:tc>
              <w:tc>
                <w:tcPr>
                  <w:tcW w:w="1428" w:type="pct"/>
                  <w:vAlign w:val="center"/>
                </w:tcPr>
                <w:p>
                  <w:pPr>
                    <w:widowControl/>
                    <w:jc w:val="center"/>
                    <w:textAlignment w:val="center"/>
                    <w:rPr>
                      <w:szCs w:val="21"/>
                    </w:rPr>
                  </w:pPr>
                  <w:r>
                    <w:rPr>
                      <w:kern w:val="0"/>
                      <w:szCs w:val="21"/>
                      <w:lang w:bidi="ar"/>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781" w:type="pct"/>
                  <w:vMerge w:val="continue"/>
                  <w:vAlign w:val="center"/>
                </w:tcPr>
                <w:p>
                  <w:pPr>
                    <w:jc w:val="center"/>
                    <w:rPr>
                      <w:szCs w:val="21"/>
                    </w:rPr>
                  </w:pPr>
                </w:p>
              </w:tc>
              <w:tc>
                <w:tcPr>
                  <w:tcW w:w="962" w:type="pct"/>
                  <w:vMerge w:val="continue"/>
                  <w:vAlign w:val="center"/>
                </w:tcPr>
                <w:p>
                  <w:pPr>
                    <w:jc w:val="center"/>
                    <w:rPr>
                      <w:szCs w:val="21"/>
                    </w:rPr>
                  </w:pPr>
                </w:p>
              </w:tc>
              <w:tc>
                <w:tcPr>
                  <w:tcW w:w="1830" w:type="pct"/>
                  <w:vAlign w:val="center"/>
                </w:tcPr>
                <w:p>
                  <w:pPr>
                    <w:jc w:val="center"/>
                    <w:rPr>
                      <w:szCs w:val="21"/>
                    </w:rPr>
                  </w:pPr>
                  <w:r>
                    <w:rPr>
                      <w:szCs w:val="21"/>
                    </w:rPr>
                    <w:t>排放量（t/a）</w:t>
                  </w:r>
                </w:p>
              </w:tc>
              <w:tc>
                <w:tcPr>
                  <w:tcW w:w="1428" w:type="pct"/>
                  <w:vAlign w:val="center"/>
                </w:tcPr>
                <w:p>
                  <w:pPr>
                    <w:widowControl/>
                    <w:jc w:val="center"/>
                    <w:textAlignment w:val="center"/>
                    <w:rPr>
                      <w:szCs w:val="21"/>
                    </w:rPr>
                  </w:pPr>
                  <w:r>
                    <w:rPr>
                      <w:kern w:val="0"/>
                      <w:szCs w:val="21"/>
                      <w:lang w:bidi="ar"/>
                    </w:rPr>
                    <w:t>0.975</w:t>
                  </w:r>
                </w:p>
              </w:tc>
            </w:tr>
          </w:tbl>
          <w:p>
            <w:pPr>
              <w:spacing w:before="120" w:beforeLines="50" w:line="360" w:lineRule="auto"/>
              <w:ind w:firstLine="488" w:firstLineChars="200"/>
              <w:rPr>
                <w:bCs/>
                <w:spacing w:val="2"/>
                <w:sz w:val="24"/>
              </w:rPr>
            </w:pPr>
            <w:r>
              <w:rPr>
                <w:bCs/>
                <w:spacing w:val="2"/>
                <w:sz w:val="24"/>
              </w:rPr>
              <w:t>2）无组织排放源</w:t>
            </w:r>
          </w:p>
          <w:p>
            <w:pPr>
              <w:autoSpaceDE w:val="0"/>
              <w:autoSpaceDN w:val="0"/>
              <w:adjustRightInd w:val="0"/>
              <w:spacing w:line="360" w:lineRule="auto"/>
              <w:ind w:firstLine="480" w:firstLineChars="200"/>
              <w:rPr>
                <w:kern w:val="0"/>
                <w:sz w:val="24"/>
              </w:rPr>
            </w:pPr>
            <w:r>
              <w:rPr>
                <w:rFonts w:hint="eastAsia" w:ascii="宋体" w:hAnsi="宋体" w:cs="宋体"/>
                <w:kern w:val="0"/>
                <w:sz w:val="24"/>
              </w:rPr>
              <w:t>①</w:t>
            </w:r>
            <w:r>
              <w:rPr>
                <w:kern w:val="0"/>
                <w:sz w:val="24"/>
              </w:rPr>
              <w:t>破碎筛分无组织废气</w:t>
            </w:r>
          </w:p>
          <w:p>
            <w:pPr>
              <w:autoSpaceDE w:val="0"/>
              <w:autoSpaceDN w:val="0"/>
              <w:adjustRightInd w:val="0"/>
              <w:spacing w:line="360" w:lineRule="auto"/>
              <w:ind w:firstLine="480" w:firstLineChars="200"/>
              <w:rPr>
                <w:sz w:val="24"/>
              </w:rPr>
            </w:pPr>
            <w:r>
              <w:rPr>
                <w:kern w:val="0"/>
                <w:sz w:val="24"/>
              </w:rPr>
              <w:t>项目原料破碎、筛分在封闭车间内进行，生产中采用喷淋降尘等措施，并加强管理，</w:t>
            </w:r>
            <w:r>
              <w:rPr>
                <w:bCs/>
                <w:sz w:val="24"/>
              </w:rPr>
              <w:t>根据《固体物料堆存颗粒物产排污核算系数手册》附录四及附录五，本项目车间顶设自动喷雾系统定期洒水后，</w:t>
            </w:r>
            <w:r>
              <w:rPr>
                <w:sz w:val="24"/>
              </w:rPr>
              <w:t>可有效去除74%的无组织粉尘，生产工序均在封闭厂房内，再经封闭厂房隔挡，可使90%粉尘在厂房内沉降，经过两道工序后，项目产生的无组织粉尘仅有少部分粉尘逸散出厂房。</w:t>
            </w:r>
            <w:r>
              <w:rPr>
                <w:kern w:val="0"/>
                <w:sz w:val="24"/>
              </w:rPr>
              <w:t>则项目</w:t>
            </w:r>
            <w:r>
              <w:rPr>
                <w:rFonts w:hint="eastAsia"/>
                <w:kern w:val="0"/>
                <w:sz w:val="24"/>
              </w:rPr>
              <w:t>生产线</w:t>
            </w:r>
            <w:r>
              <w:rPr>
                <w:sz w:val="24"/>
              </w:rPr>
              <w:t>产线</w:t>
            </w:r>
            <w:r>
              <w:rPr>
                <w:kern w:val="0"/>
                <w:sz w:val="24"/>
              </w:rPr>
              <w:t>无组织颗粒物排放量0.446t/a，排放速率0.155kg/h。</w:t>
            </w:r>
          </w:p>
          <w:p>
            <w:pPr>
              <w:spacing w:line="360" w:lineRule="auto"/>
              <w:ind w:firstLine="488" w:firstLineChars="200"/>
              <w:rPr>
                <w:bCs/>
                <w:spacing w:val="2"/>
                <w:sz w:val="24"/>
              </w:rPr>
            </w:pPr>
            <w:r>
              <w:rPr>
                <w:rFonts w:hint="eastAsia" w:ascii="宋体" w:hAnsi="宋体" w:cs="宋体"/>
                <w:bCs/>
                <w:spacing w:val="2"/>
                <w:sz w:val="24"/>
              </w:rPr>
              <w:t>②</w:t>
            </w:r>
            <w:r>
              <w:rPr>
                <w:bCs/>
                <w:spacing w:val="2"/>
                <w:sz w:val="24"/>
              </w:rPr>
              <w:t>原料堆场卸料扬尘</w:t>
            </w:r>
          </w:p>
          <w:p>
            <w:pPr>
              <w:spacing w:line="360" w:lineRule="auto"/>
              <w:ind w:firstLine="488" w:firstLineChars="200"/>
              <w:rPr>
                <w:bCs/>
                <w:spacing w:val="2"/>
                <w:sz w:val="24"/>
              </w:rPr>
            </w:pPr>
            <w:r>
              <w:rPr>
                <w:bCs/>
                <w:spacing w:val="2"/>
                <w:sz w:val="24"/>
              </w:rPr>
              <w:t>根据《逸散性工业粉尘控制技术》中“卸料扬尘产生系数为0.01kg/t（卸料）”，本项目原料为建筑垃圾</w:t>
            </w:r>
            <w:r>
              <w:rPr>
                <w:rFonts w:hint="eastAsia"/>
                <w:bCs/>
                <w:spacing w:val="2"/>
                <w:sz w:val="24"/>
              </w:rPr>
              <w:t>、泥沙石量</w:t>
            </w:r>
            <w:r>
              <w:rPr>
                <w:bCs/>
                <w:spacing w:val="2"/>
                <w:sz w:val="24"/>
              </w:rPr>
              <w:t>25.5万t/a，</w:t>
            </w:r>
            <w:r>
              <w:rPr>
                <w:sz w:val="24"/>
              </w:rPr>
              <w:t>原料卸料时间约为360h/a。</w:t>
            </w:r>
            <w:r>
              <w:rPr>
                <w:bCs/>
                <w:spacing w:val="2"/>
                <w:sz w:val="24"/>
              </w:rPr>
              <w:t>即原料堆场扬尘产生量为2.55t/a，产生速率7.08kg/h。</w:t>
            </w:r>
            <w:r>
              <w:rPr>
                <w:kern w:val="0"/>
                <w:sz w:val="24"/>
              </w:rPr>
              <w:t>项目原料卸料在封闭车间内进行，</w:t>
            </w:r>
            <w:r>
              <w:rPr>
                <w:sz w:val="24"/>
              </w:rPr>
              <w:t>车间顶部设置有喷淋装置，</w:t>
            </w:r>
            <w:r>
              <w:rPr>
                <w:bCs/>
                <w:sz w:val="24"/>
              </w:rPr>
              <w:t>根据《固体物料堆存颗粒物产排污核算系数手册》附录四及附录五，本项目车间顶设自动喷雾系统定期洒水后，</w:t>
            </w:r>
            <w:r>
              <w:rPr>
                <w:sz w:val="24"/>
              </w:rPr>
              <w:t>可有效去除74%的无组织粉尘，生产工序均在封闭厂房内，再经封闭厂房隔挡，可使90%粉尘在厂房内沉降，经过两道工序后，项目产生的无组织粉尘仅有少部分粉尘逸散出厂房。经计算</w:t>
            </w:r>
            <w:r>
              <w:rPr>
                <w:bCs/>
                <w:spacing w:val="2"/>
                <w:sz w:val="24"/>
              </w:rPr>
              <w:t>扬尘散逸量为0.066t/a，排放速率0.184kg/h。</w:t>
            </w:r>
          </w:p>
          <w:p>
            <w:pPr>
              <w:spacing w:line="360" w:lineRule="auto"/>
              <w:ind w:firstLine="488" w:firstLineChars="200"/>
              <w:rPr>
                <w:bCs/>
                <w:spacing w:val="2"/>
                <w:sz w:val="24"/>
              </w:rPr>
            </w:pPr>
            <w:r>
              <w:rPr>
                <w:rFonts w:hint="eastAsia" w:ascii="宋体" w:hAnsi="宋体" w:cs="宋体"/>
                <w:bCs/>
                <w:spacing w:val="2"/>
                <w:sz w:val="24"/>
              </w:rPr>
              <w:t>③</w:t>
            </w:r>
            <w:r>
              <w:rPr>
                <w:bCs/>
                <w:spacing w:val="2"/>
                <w:sz w:val="24"/>
              </w:rPr>
              <w:t>成品装料扬尘</w:t>
            </w:r>
          </w:p>
          <w:p>
            <w:pPr>
              <w:spacing w:line="360" w:lineRule="auto"/>
              <w:ind w:firstLine="488" w:firstLineChars="200"/>
              <w:rPr>
                <w:sz w:val="24"/>
              </w:rPr>
            </w:pPr>
            <w:r>
              <w:rPr>
                <w:bCs/>
                <w:spacing w:val="2"/>
                <w:sz w:val="24"/>
              </w:rPr>
              <w:t>本项目成品分为1-2、1-3、石粉石沫等不同粒径规格，1-2、1-3规格粒径较大，且由于需经过水洗工序，装料过程基本不产尘，仅石粉石沫在装料过程会产生扬尘。根据《逸散性工业粉尘控制技术》中“装料扬尘产生系数为0.01kg/t（装货）”，石粉石沫产量为2万t/a，即装料扬尘产生量为0.2t/a，</w:t>
            </w:r>
            <w:r>
              <w:rPr>
                <w:sz w:val="24"/>
              </w:rPr>
              <w:t>成品装料时间约为180h/a</w:t>
            </w:r>
            <w:r>
              <w:rPr>
                <w:bCs/>
                <w:spacing w:val="2"/>
                <w:sz w:val="24"/>
              </w:rPr>
              <w:t>，产生速率1.12kg/h，</w:t>
            </w:r>
            <w:r>
              <w:rPr>
                <w:kern w:val="0"/>
                <w:sz w:val="24"/>
              </w:rPr>
              <w:t>项目</w:t>
            </w:r>
            <w:r>
              <w:rPr>
                <w:rFonts w:hint="eastAsia"/>
                <w:kern w:val="0"/>
                <w:sz w:val="24"/>
              </w:rPr>
              <w:t>成品装料</w:t>
            </w:r>
            <w:r>
              <w:rPr>
                <w:kern w:val="0"/>
                <w:sz w:val="24"/>
              </w:rPr>
              <w:t>在封闭车间内进行，</w:t>
            </w:r>
            <w:r>
              <w:rPr>
                <w:sz w:val="24"/>
              </w:rPr>
              <w:t>车间顶部设置有喷淋装置，</w:t>
            </w:r>
            <w:r>
              <w:rPr>
                <w:bCs/>
                <w:sz w:val="24"/>
              </w:rPr>
              <w:t>根据《固体物料堆存颗粒物产排污核算系数手册》附录四及附录五，本项目车间顶设自动喷雾系统定期洒水后，</w:t>
            </w:r>
            <w:r>
              <w:rPr>
                <w:sz w:val="24"/>
              </w:rPr>
              <w:t>可有效去除74%的无组织粉尘，生产工序均在封闭厂房内，再经封闭厂房隔挡，可使90%粉尘在厂房内沉降，经过两道工序后，项目产生的无组织粉尘仅有少部分粉尘逸散出厂房。经计算</w:t>
            </w:r>
            <w:r>
              <w:rPr>
                <w:bCs/>
                <w:spacing w:val="2"/>
                <w:sz w:val="24"/>
              </w:rPr>
              <w:t>扬尘散逸量为0.0052t/a，排放速率0.029kg/h。</w:t>
            </w:r>
          </w:p>
          <w:p>
            <w:pPr>
              <w:spacing w:line="360" w:lineRule="auto"/>
              <w:ind w:firstLine="488" w:firstLineChars="200"/>
              <w:rPr>
                <w:bCs/>
                <w:spacing w:val="2"/>
                <w:sz w:val="24"/>
              </w:rPr>
            </w:pPr>
            <w:r>
              <w:rPr>
                <w:rFonts w:hint="eastAsia" w:ascii="宋体" w:hAnsi="宋体" w:cs="宋体"/>
                <w:bCs/>
                <w:spacing w:val="2"/>
                <w:sz w:val="24"/>
              </w:rPr>
              <w:t>④</w:t>
            </w:r>
            <w:r>
              <w:rPr>
                <w:bCs/>
                <w:spacing w:val="2"/>
                <w:sz w:val="24"/>
              </w:rPr>
              <w:t>运输扬尘</w:t>
            </w:r>
          </w:p>
          <w:p>
            <w:pPr>
              <w:spacing w:line="360" w:lineRule="auto"/>
              <w:ind w:firstLine="480" w:firstLineChars="200"/>
              <w:rPr>
                <w:bCs/>
                <w:spacing w:val="2"/>
                <w:sz w:val="24"/>
              </w:rPr>
            </w:pPr>
            <w:r>
              <w:rPr>
                <w:sz w:val="24"/>
              </w:rPr>
              <w:t>本项目的原材料采用汽车运输，项目区内汽车运输会产生一定的扬尘，汽车行驶时引起的路面扬尘与汽车速度，汽车质量及道路表面积扬尘量均成正比，其汽车扬尘量预测经验公式为</w:t>
            </w:r>
            <w:r>
              <w:rPr>
                <w:bCs/>
                <w:spacing w:val="2"/>
                <w:sz w:val="24"/>
              </w:rPr>
              <w:t>：</w:t>
            </w:r>
          </w:p>
          <w:p>
            <w:pPr>
              <w:spacing w:line="360" w:lineRule="auto"/>
              <w:jc w:val="center"/>
              <w:rPr>
                <w:bCs/>
                <w:spacing w:val="2"/>
                <w:sz w:val="24"/>
              </w:rPr>
            </w:pPr>
            <w:r>
              <w:rPr>
                <w:sz w:val="24"/>
              </w:rPr>
              <w:drawing>
                <wp:inline distT="0" distB="0" distL="114300" distR="114300">
                  <wp:extent cx="2150745" cy="755015"/>
                  <wp:effectExtent l="0" t="0" r="8255" b="6985"/>
                  <wp:docPr id="17" name="图片 24" descr="16298842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4" descr="1629884264(1)"/>
                          <pic:cNvPicPr>
                            <a:picLocks noChangeAspect="1"/>
                          </pic:cNvPicPr>
                        </pic:nvPicPr>
                        <pic:blipFill>
                          <a:blip r:embed="rId9"/>
                          <a:stretch>
                            <a:fillRect/>
                          </a:stretch>
                        </pic:blipFill>
                        <pic:spPr>
                          <a:xfrm>
                            <a:off x="0" y="0"/>
                            <a:ext cx="2150745" cy="755015"/>
                          </a:xfrm>
                          <a:prstGeom prst="rect">
                            <a:avLst/>
                          </a:prstGeom>
                          <a:noFill/>
                          <a:ln>
                            <a:noFill/>
                          </a:ln>
                        </pic:spPr>
                      </pic:pic>
                    </a:graphicData>
                  </a:graphic>
                </wp:inline>
              </w:drawing>
            </w:r>
          </w:p>
          <w:p>
            <w:pPr>
              <w:spacing w:line="360" w:lineRule="auto"/>
              <w:ind w:firstLine="488" w:firstLineChars="200"/>
              <w:rPr>
                <w:sz w:val="24"/>
              </w:rPr>
            </w:pPr>
            <w:r>
              <w:rPr>
                <w:bCs/>
                <w:spacing w:val="2"/>
                <w:sz w:val="24"/>
              </w:rPr>
              <w:t>式中：Qy—每辆汽车行驶扬尘量，kg/km·辆；</w:t>
            </w:r>
          </w:p>
          <w:p>
            <w:pPr>
              <w:spacing w:line="360" w:lineRule="auto"/>
              <w:ind w:firstLine="1220" w:firstLineChars="500"/>
              <w:rPr>
                <w:bCs/>
                <w:spacing w:val="2"/>
                <w:sz w:val="24"/>
              </w:rPr>
            </w:pPr>
            <w:r>
              <w:rPr>
                <w:bCs/>
                <w:spacing w:val="2"/>
                <w:sz w:val="24"/>
              </w:rPr>
              <w:t>Qt—运输途中起尘量，kg/a；</w:t>
            </w:r>
          </w:p>
          <w:p>
            <w:pPr>
              <w:spacing w:line="360" w:lineRule="auto"/>
              <w:ind w:firstLine="1220" w:firstLineChars="500"/>
              <w:rPr>
                <w:bCs/>
                <w:spacing w:val="2"/>
                <w:sz w:val="24"/>
              </w:rPr>
            </w:pPr>
            <w:r>
              <w:rPr>
                <w:bCs/>
                <w:spacing w:val="2"/>
                <w:sz w:val="24"/>
              </w:rPr>
              <w:t>V—汽车行驶速度（km/h），本项目取10km/h；</w:t>
            </w:r>
          </w:p>
          <w:p>
            <w:pPr>
              <w:spacing w:line="360" w:lineRule="auto"/>
              <w:ind w:firstLine="1220" w:firstLineChars="500"/>
              <w:rPr>
                <w:bCs/>
                <w:spacing w:val="2"/>
                <w:sz w:val="24"/>
              </w:rPr>
            </w:pPr>
            <w:r>
              <w:rPr>
                <w:bCs/>
                <w:spacing w:val="2"/>
                <w:sz w:val="24"/>
              </w:rPr>
              <w:t>M—汽车载重量（t），取30t；</w:t>
            </w:r>
          </w:p>
          <w:p>
            <w:pPr>
              <w:spacing w:line="360" w:lineRule="auto"/>
              <w:ind w:firstLine="1220" w:firstLineChars="500"/>
              <w:rPr>
                <w:bCs/>
                <w:spacing w:val="2"/>
                <w:sz w:val="24"/>
              </w:rPr>
            </w:pPr>
            <w:r>
              <w:rPr>
                <w:bCs/>
                <w:spacing w:val="2"/>
                <w:sz w:val="24"/>
              </w:rPr>
              <w:t>P—道路表面扬尘量（kg/m</w:t>
            </w:r>
            <w:r>
              <w:rPr>
                <w:bCs/>
                <w:spacing w:val="2"/>
                <w:sz w:val="24"/>
                <w:vertAlign w:val="superscript"/>
              </w:rPr>
              <w:t>2</w:t>
            </w:r>
            <w:r>
              <w:rPr>
                <w:bCs/>
                <w:spacing w:val="2"/>
                <w:sz w:val="24"/>
              </w:rPr>
              <w:t>），取0.1kg/m</w:t>
            </w:r>
            <w:r>
              <w:rPr>
                <w:bCs/>
                <w:spacing w:val="2"/>
                <w:sz w:val="24"/>
                <w:vertAlign w:val="superscript"/>
              </w:rPr>
              <w:t>2</w:t>
            </w:r>
            <w:r>
              <w:rPr>
                <w:bCs/>
                <w:spacing w:val="2"/>
                <w:sz w:val="24"/>
              </w:rPr>
              <w:t>；</w:t>
            </w:r>
          </w:p>
          <w:p>
            <w:pPr>
              <w:spacing w:line="360" w:lineRule="auto"/>
              <w:ind w:firstLine="1220" w:firstLineChars="500"/>
              <w:rPr>
                <w:sz w:val="24"/>
              </w:rPr>
            </w:pPr>
            <w:r>
              <w:rPr>
                <w:bCs/>
                <w:spacing w:val="2"/>
                <w:sz w:val="24"/>
              </w:rPr>
              <w:t>L—运输距离（km），取0.1km；</w:t>
            </w:r>
          </w:p>
          <w:p>
            <w:pPr>
              <w:spacing w:line="360" w:lineRule="auto"/>
              <w:ind w:firstLine="1220" w:firstLineChars="500"/>
              <w:rPr>
                <w:bCs/>
                <w:spacing w:val="2"/>
                <w:sz w:val="24"/>
              </w:rPr>
            </w:pPr>
            <w:r>
              <w:rPr>
                <w:bCs/>
                <w:spacing w:val="2"/>
                <w:sz w:val="24"/>
              </w:rPr>
              <w:t>Q—运输量，t/a，本项目原料和产品共计50.5万t/a。</w:t>
            </w:r>
          </w:p>
          <w:p>
            <w:pPr>
              <w:spacing w:line="360" w:lineRule="auto"/>
              <w:ind w:firstLine="488" w:firstLineChars="200"/>
              <w:rPr>
                <w:bCs/>
                <w:spacing w:val="2"/>
                <w:sz w:val="24"/>
              </w:rPr>
            </w:pPr>
            <w:r>
              <w:rPr>
                <w:bCs/>
                <w:spacing w:val="2"/>
                <w:sz w:val="24"/>
              </w:rPr>
              <w:t>经过核算，本项目运输扬尘量为0.46t/a。</w:t>
            </w:r>
            <w:r>
              <w:rPr>
                <w:sz w:val="24"/>
              </w:rPr>
              <w:t>项目采取道路硬化、厂区内减速慢行、车辆运输物料用篷布遮盖、路面洒水等措施，可使运输车辆扬尘得到有效控制，抑尘效率约70%，</w:t>
            </w:r>
            <w:r>
              <w:rPr>
                <w:bCs/>
                <w:spacing w:val="2"/>
                <w:sz w:val="24"/>
              </w:rPr>
              <w:t>则扬尘排放量为0.138t/a。</w:t>
            </w:r>
          </w:p>
          <w:p>
            <w:pPr>
              <w:spacing w:line="360" w:lineRule="auto"/>
              <w:ind w:left="420" w:leftChars="200"/>
              <w:textAlignment w:val="baseline"/>
              <w:rPr>
                <w:sz w:val="24"/>
              </w:rPr>
            </w:pPr>
            <w:r>
              <w:rPr>
                <w:sz w:val="24"/>
              </w:rPr>
              <w:t>（2）项目排放口情况</w:t>
            </w:r>
          </w:p>
          <w:p>
            <w:pPr>
              <w:spacing w:line="360" w:lineRule="auto"/>
              <w:ind w:left="420" w:leftChars="200"/>
              <w:textAlignment w:val="baseline"/>
              <w:rPr>
                <w:sz w:val="24"/>
              </w:rPr>
            </w:pPr>
            <w:r>
              <w:rPr>
                <w:sz w:val="24"/>
              </w:rPr>
              <w:t>本项目废气排放口情况如下表所示。</w:t>
            </w:r>
          </w:p>
          <w:p>
            <w:pPr>
              <w:spacing w:before="120" w:beforeLines="50" w:line="360" w:lineRule="auto"/>
              <w:jc w:val="center"/>
              <w:rPr>
                <w:b/>
                <w:bCs/>
                <w:szCs w:val="21"/>
              </w:rPr>
            </w:pPr>
            <w:r>
              <w:rPr>
                <w:b/>
                <w:bCs/>
                <w:szCs w:val="21"/>
              </w:rPr>
              <w:t>表4-2    排放口基本情况一览表</w:t>
            </w:r>
          </w:p>
          <w:tbl>
            <w:tblPr>
              <w:tblStyle w:val="2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08"/>
              <w:gridCol w:w="1196"/>
              <w:gridCol w:w="1066"/>
              <w:gridCol w:w="1767"/>
              <w:gridCol w:w="1642"/>
              <w:gridCol w:w="855"/>
              <w:gridCol w:w="8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51" w:type="pct"/>
                  <w:vMerge w:val="restart"/>
                  <w:vAlign w:val="center"/>
                </w:tcPr>
                <w:p>
                  <w:pPr>
                    <w:widowControl/>
                    <w:jc w:val="center"/>
                    <w:rPr>
                      <w:szCs w:val="21"/>
                    </w:rPr>
                  </w:pPr>
                  <w:r>
                    <w:rPr>
                      <w:szCs w:val="21"/>
                    </w:rPr>
                    <w:t>名称</w:t>
                  </w:r>
                </w:p>
              </w:tc>
              <w:tc>
                <w:tcPr>
                  <w:tcW w:w="726" w:type="pct"/>
                  <w:vMerge w:val="restart"/>
                  <w:vAlign w:val="center"/>
                </w:tcPr>
                <w:p>
                  <w:pPr>
                    <w:widowControl/>
                    <w:jc w:val="center"/>
                    <w:rPr>
                      <w:szCs w:val="21"/>
                    </w:rPr>
                  </w:pPr>
                  <w:r>
                    <w:rPr>
                      <w:szCs w:val="21"/>
                    </w:rPr>
                    <w:t>编号</w:t>
                  </w:r>
                </w:p>
              </w:tc>
              <w:tc>
                <w:tcPr>
                  <w:tcW w:w="647" w:type="pct"/>
                  <w:vMerge w:val="restart"/>
                  <w:vAlign w:val="center"/>
                </w:tcPr>
                <w:p>
                  <w:pPr>
                    <w:widowControl/>
                    <w:jc w:val="center"/>
                    <w:rPr>
                      <w:szCs w:val="21"/>
                    </w:rPr>
                  </w:pPr>
                  <w:r>
                    <w:rPr>
                      <w:szCs w:val="21"/>
                    </w:rPr>
                    <w:t>类型</w:t>
                  </w:r>
                </w:p>
              </w:tc>
              <w:tc>
                <w:tcPr>
                  <w:tcW w:w="2069" w:type="pct"/>
                  <w:gridSpan w:val="2"/>
                  <w:vAlign w:val="center"/>
                </w:tcPr>
                <w:p>
                  <w:pPr>
                    <w:widowControl/>
                    <w:jc w:val="center"/>
                    <w:rPr>
                      <w:szCs w:val="21"/>
                    </w:rPr>
                  </w:pPr>
                  <w:r>
                    <w:rPr>
                      <w:szCs w:val="21"/>
                    </w:rPr>
                    <w:t>排气筒底部中心坐标</w:t>
                  </w:r>
                </w:p>
              </w:tc>
              <w:tc>
                <w:tcPr>
                  <w:tcW w:w="519" w:type="pct"/>
                  <w:vMerge w:val="restart"/>
                  <w:vAlign w:val="center"/>
                </w:tcPr>
                <w:p>
                  <w:pPr>
                    <w:widowControl/>
                    <w:jc w:val="center"/>
                    <w:rPr>
                      <w:szCs w:val="21"/>
                    </w:rPr>
                  </w:pPr>
                  <w:r>
                    <w:rPr>
                      <w:szCs w:val="21"/>
                    </w:rPr>
                    <w:t>排气筒高度/m</w:t>
                  </w:r>
                </w:p>
              </w:tc>
              <w:tc>
                <w:tcPr>
                  <w:tcW w:w="487" w:type="pct"/>
                  <w:vMerge w:val="restart"/>
                  <w:vAlign w:val="center"/>
                </w:tcPr>
                <w:p>
                  <w:pPr>
                    <w:widowControl/>
                    <w:jc w:val="center"/>
                    <w:rPr>
                      <w:szCs w:val="21"/>
                    </w:rPr>
                  </w:pPr>
                  <w:r>
                    <w:rPr>
                      <w:szCs w:val="21"/>
                    </w:rPr>
                    <w:t>排气筒出口内径/m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51" w:type="pct"/>
                  <w:vMerge w:val="continue"/>
                  <w:vAlign w:val="center"/>
                </w:tcPr>
                <w:p>
                  <w:pPr>
                    <w:widowControl/>
                    <w:jc w:val="center"/>
                    <w:rPr>
                      <w:szCs w:val="21"/>
                    </w:rPr>
                  </w:pPr>
                </w:p>
              </w:tc>
              <w:tc>
                <w:tcPr>
                  <w:tcW w:w="726" w:type="pct"/>
                  <w:vMerge w:val="continue"/>
                  <w:vAlign w:val="center"/>
                </w:tcPr>
                <w:p>
                  <w:pPr>
                    <w:widowControl/>
                    <w:jc w:val="center"/>
                    <w:rPr>
                      <w:szCs w:val="21"/>
                    </w:rPr>
                  </w:pPr>
                </w:p>
              </w:tc>
              <w:tc>
                <w:tcPr>
                  <w:tcW w:w="647" w:type="pct"/>
                  <w:vMerge w:val="continue"/>
                  <w:vAlign w:val="center"/>
                </w:tcPr>
                <w:p>
                  <w:pPr>
                    <w:widowControl/>
                    <w:jc w:val="center"/>
                    <w:rPr>
                      <w:szCs w:val="21"/>
                    </w:rPr>
                  </w:pPr>
                </w:p>
              </w:tc>
              <w:tc>
                <w:tcPr>
                  <w:tcW w:w="1073" w:type="pct"/>
                  <w:vAlign w:val="center"/>
                </w:tcPr>
                <w:p>
                  <w:pPr>
                    <w:widowControl/>
                    <w:jc w:val="center"/>
                    <w:rPr>
                      <w:szCs w:val="21"/>
                    </w:rPr>
                  </w:pPr>
                  <w:r>
                    <w:rPr>
                      <w:szCs w:val="21"/>
                    </w:rPr>
                    <w:t>X</w:t>
                  </w:r>
                </w:p>
              </w:tc>
              <w:tc>
                <w:tcPr>
                  <w:tcW w:w="997" w:type="pct"/>
                  <w:vAlign w:val="center"/>
                </w:tcPr>
                <w:p>
                  <w:pPr>
                    <w:widowControl/>
                    <w:jc w:val="center"/>
                    <w:rPr>
                      <w:szCs w:val="21"/>
                    </w:rPr>
                  </w:pPr>
                  <w:r>
                    <w:rPr>
                      <w:szCs w:val="21"/>
                    </w:rPr>
                    <w:t>Y</w:t>
                  </w:r>
                </w:p>
              </w:tc>
              <w:tc>
                <w:tcPr>
                  <w:tcW w:w="519" w:type="pct"/>
                  <w:vMerge w:val="continue"/>
                  <w:vAlign w:val="center"/>
                </w:tcPr>
                <w:p>
                  <w:pPr>
                    <w:widowControl/>
                    <w:jc w:val="center"/>
                    <w:rPr>
                      <w:szCs w:val="21"/>
                    </w:rPr>
                  </w:pPr>
                </w:p>
              </w:tc>
              <w:tc>
                <w:tcPr>
                  <w:tcW w:w="487" w:type="pct"/>
                  <w:vMerge w:val="continue"/>
                  <w:vAlign w:val="center"/>
                </w:tcPr>
                <w:p>
                  <w:pPr>
                    <w:widowControl/>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51" w:type="pct"/>
                  <w:vAlign w:val="center"/>
                </w:tcPr>
                <w:p>
                  <w:pPr>
                    <w:widowControl/>
                    <w:jc w:val="center"/>
                    <w:rPr>
                      <w:szCs w:val="21"/>
                    </w:rPr>
                  </w:pPr>
                  <w:r>
                    <w:rPr>
                      <w:rFonts w:hint="eastAsia"/>
                      <w:szCs w:val="21"/>
                    </w:rPr>
                    <w:t>生产车间排气筒</w:t>
                  </w:r>
                </w:p>
              </w:tc>
              <w:tc>
                <w:tcPr>
                  <w:tcW w:w="726" w:type="pct"/>
                  <w:vAlign w:val="center"/>
                </w:tcPr>
                <w:p>
                  <w:pPr>
                    <w:widowControl/>
                    <w:jc w:val="center"/>
                    <w:rPr>
                      <w:szCs w:val="21"/>
                    </w:rPr>
                  </w:pPr>
                  <w:r>
                    <w:rPr>
                      <w:szCs w:val="21"/>
                    </w:rPr>
                    <w:t>DA001</w:t>
                  </w:r>
                </w:p>
              </w:tc>
              <w:tc>
                <w:tcPr>
                  <w:tcW w:w="647" w:type="pct"/>
                  <w:vAlign w:val="center"/>
                </w:tcPr>
                <w:p>
                  <w:pPr>
                    <w:widowControl/>
                    <w:jc w:val="center"/>
                    <w:rPr>
                      <w:szCs w:val="21"/>
                    </w:rPr>
                  </w:pPr>
                  <w:r>
                    <w:rPr>
                      <w:szCs w:val="21"/>
                    </w:rPr>
                    <w:t>一般排气筒</w:t>
                  </w:r>
                </w:p>
              </w:tc>
              <w:tc>
                <w:tcPr>
                  <w:tcW w:w="1073" w:type="pct"/>
                  <w:vAlign w:val="center"/>
                </w:tcPr>
                <w:p>
                  <w:pPr>
                    <w:widowControl/>
                    <w:jc w:val="center"/>
                    <w:rPr>
                      <w:szCs w:val="21"/>
                    </w:rPr>
                  </w:pPr>
                  <w:r>
                    <w:rPr>
                      <w:szCs w:val="21"/>
                    </w:rPr>
                    <w:t>109.089341</w:t>
                  </w:r>
                </w:p>
              </w:tc>
              <w:tc>
                <w:tcPr>
                  <w:tcW w:w="997" w:type="pct"/>
                  <w:vAlign w:val="center"/>
                </w:tcPr>
                <w:p>
                  <w:pPr>
                    <w:widowControl/>
                    <w:jc w:val="center"/>
                    <w:rPr>
                      <w:szCs w:val="21"/>
                    </w:rPr>
                  </w:pPr>
                  <w:r>
                    <w:rPr>
                      <w:szCs w:val="21"/>
                    </w:rPr>
                    <w:t>34.33698</w:t>
                  </w:r>
                </w:p>
              </w:tc>
              <w:tc>
                <w:tcPr>
                  <w:tcW w:w="519" w:type="pct"/>
                  <w:vAlign w:val="center"/>
                </w:tcPr>
                <w:p>
                  <w:pPr>
                    <w:widowControl/>
                    <w:jc w:val="center"/>
                    <w:rPr>
                      <w:szCs w:val="21"/>
                    </w:rPr>
                  </w:pPr>
                  <w:r>
                    <w:rPr>
                      <w:szCs w:val="21"/>
                    </w:rPr>
                    <w:t>15</w:t>
                  </w:r>
                </w:p>
              </w:tc>
              <w:tc>
                <w:tcPr>
                  <w:tcW w:w="487" w:type="pct"/>
                  <w:vAlign w:val="center"/>
                </w:tcPr>
                <w:p>
                  <w:pPr>
                    <w:widowControl/>
                    <w:jc w:val="center"/>
                    <w:rPr>
                      <w:szCs w:val="21"/>
                    </w:rPr>
                  </w:pPr>
                  <w:r>
                    <w:rPr>
                      <w:szCs w:val="21"/>
                    </w:rPr>
                    <w:t>0.15</w:t>
                  </w:r>
                </w:p>
              </w:tc>
            </w:tr>
          </w:tbl>
          <w:p>
            <w:pPr>
              <w:spacing w:before="120" w:beforeLines="50" w:line="360" w:lineRule="auto"/>
              <w:ind w:firstLine="480" w:firstLineChars="200"/>
              <w:textAlignment w:val="baseline"/>
              <w:rPr>
                <w:sz w:val="24"/>
              </w:rPr>
            </w:pPr>
            <w:r>
              <w:rPr>
                <w:sz w:val="24"/>
              </w:rPr>
              <w:t>（3）废气达标排放分析</w:t>
            </w:r>
          </w:p>
          <w:p>
            <w:pPr>
              <w:spacing w:line="360" w:lineRule="auto"/>
              <w:ind w:left="420" w:leftChars="200"/>
              <w:textAlignment w:val="baseline"/>
              <w:rPr>
                <w:sz w:val="24"/>
              </w:rPr>
            </w:pPr>
            <w:r>
              <w:rPr>
                <w:rFonts w:hint="eastAsia" w:ascii="宋体" w:hAnsi="宋体" w:cs="宋体"/>
                <w:sz w:val="24"/>
              </w:rPr>
              <w:t>①</w:t>
            </w:r>
            <w:r>
              <w:rPr>
                <w:sz w:val="24"/>
              </w:rPr>
              <w:t>有组织达标性分析</w:t>
            </w:r>
          </w:p>
          <w:p>
            <w:pPr>
              <w:spacing w:line="360" w:lineRule="auto"/>
              <w:ind w:left="420" w:leftChars="200"/>
              <w:textAlignment w:val="baseline"/>
              <w:rPr>
                <w:sz w:val="24"/>
              </w:rPr>
            </w:pPr>
            <w:r>
              <w:rPr>
                <w:sz w:val="24"/>
              </w:rPr>
              <w:t>本项目有组织废气排放情况及达标性分析如下表所示。</w:t>
            </w:r>
          </w:p>
          <w:p>
            <w:pPr>
              <w:spacing w:before="120" w:beforeLines="50" w:line="360" w:lineRule="auto"/>
              <w:jc w:val="center"/>
              <w:rPr>
                <w:b/>
                <w:bCs/>
                <w:szCs w:val="21"/>
              </w:rPr>
            </w:pPr>
            <w:r>
              <w:rPr>
                <w:b/>
                <w:bCs/>
                <w:szCs w:val="21"/>
              </w:rPr>
              <w:t>表4-3    大气污染物有组织排放达标性分析</w:t>
            </w:r>
          </w:p>
          <w:tbl>
            <w:tblPr>
              <w:tblStyle w:val="26"/>
              <w:tblW w:w="8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080"/>
              <w:gridCol w:w="1142"/>
              <w:gridCol w:w="1197"/>
              <w:gridCol w:w="1047"/>
              <w:gridCol w:w="1197"/>
              <w:gridCol w:w="1017"/>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2" w:type="dxa"/>
                  <w:vMerge w:val="restart"/>
                  <w:vAlign w:val="center"/>
                </w:tcPr>
                <w:p>
                  <w:pPr>
                    <w:jc w:val="center"/>
                    <w:textAlignment w:val="baseline"/>
                    <w:rPr>
                      <w:szCs w:val="21"/>
                    </w:rPr>
                  </w:pPr>
                  <w:r>
                    <w:rPr>
                      <w:szCs w:val="21"/>
                    </w:rPr>
                    <w:t>排放口编号</w:t>
                  </w:r>
                </w:p>
              </w:tc>
              <w:tc>
                <w:tcPr>
                  <w:tcW w:w="1080" w:type="dxa"/>
                  <w:vMerge w:val="restart"/>
                  <w:vAlign w:val="center"/>
                </w:tcPr>
                <w:p>
                  <w:pPr>
                    <w:jc w:val="center"/>
                    <w:textAlignment w:val="baseline"/>
                    <w:rPr>
                      <w:szCs w:val="21"/>
                    </w:rPr>
                  </w:pPr>
                  <w:r>
                    <w:rPr>
                      <w:szCs w:val="21"/>
                    </w:rPr>
                    <w:t>污染源</w:t>
                  </w:r>
                </w:p>
              </w:tc>
              <w:tc>
                <w:tcPr>
                  <w:tcW w:w="1142" w:type="dxa"/>
                  <w:vMerge w:val="restart"/>
                  <w:vAlign w:val="center"/>
                </w:tcPr>
                <w:p>
                  <w:pPr>
                    <w:jc w:val="center"/>
                    <w:textAlignment w:val="baseline"/>
                    <w:rPr>
                      <w:szCs w:val="21"/>
                    </w:rPr>
                  </w:pPr>
                  <w:r>
                    <w:rPr>
                      <w:szCs w:val="21"/>
                    </w:rPr>
                    <w:t>污染物</w:t>
                  </w:r>
                </w:p>
              </w:tc>
              <w:tc>
                <w:tcPr>
                  <w:tcW w:w="2244" w:type="dxa"/>
                  <w:gridSpan w:val="2"/>
                  <w:vAlign w:val="center"/>
                </w:tcPr>
                <w:p>
                  <w:pPr>
                    <w:jc w:val="center"/>
                    <w:textAlignment w:val="baseline"/>
                    <w:rPr>
                      <w:szCs w:val="21"/>
                    </w:rPr>
                  </w:pPr>
                  <w:r>
                    <w:rPr>
                      <w:szCs w:val="21"/>
                    </w:rPr>
                    <w:t>核定情况</w:t>
                  </w:r>
                </w:p>
              </w:tc>
              <w:tc>
                <w:tcPr>
                  <w:tcW w:w="2214" w:type="dxa"/>
                  <w:gridSpan w:val="2"/>
                  <w:vAlign w:val="center"/>
                </w:tcPr>
                <w:p>
                  <w:pPr>
                    <w:jc w:val="center"/>
                    <w:textAlignment w:val="baseline"/>
                    <w:rPr>
                      <w:szCs w:val="21"/>
                    </w:rPr>
                  </w:pPr>
                  <w:r>
                    <w:rPr>
                      <w:szCs w:val="21"/>
                    </w:rPr>
                    <w:t>标准值</w:t>
                  </w:r>
                </w:p>
              </w:tc>
              <w:tc>
                <w:tcPr>
                  <w:tcW w:w="670" w:type="dxa"/>
                  <w:vMerge w:val="restart"/>
                  <w:vAlign w:val="center"/>
                </w:tcPr>
                <w:p>
                  <w:pPr>
                    <w:jc w:val="center"/>
                    <w:textAlignment w:val="baseline"/>
                    <w:rPr>
                      <w:szCs w:val="21"/>
                    </w:rPr>
                  </w:pPr>
                  <w:r>
                    <w:rPr>
                      <w:szCs w:val="21"/>
                    </w:rPr>
                    <w:t>达标</w:t>
                  </w:r>
                </w:p>
                <w:p>
                  <w:pPr>
                    <w:jc w:val="center"/>
                    <w:textAlignment w:val="baseline"/>
                    <w:rPr>
                      <w:szCs w:val="21"/>
                    </w:rPr>
                  </w:pPr>
                  <w:r>
                    <w:rPr>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2" w:type="dxa"/>
                  <w:vMerge w:val="continue"/>
                  <w:vAlign w:val="center"/>
                </w:tcPr>
                <w:p>
                  <w:pPr>
                    <w:jc w:val="center"/>
                    <w:textAlignment w:val="baseline"/>
                    <w:rPr>
                      <w:szCs w:val="21"/>
                    </w:rPr>
                  </w:pPr>
                </w:p>
              </w:tc>
              <w:tc>
                <w:tcPr>
                  <w:tcW w:w="1080" w:type="dxa"/>
                  <w:vMerge w:val="continue"/>
                  <w:vAlign w:val="center"/>
                </w:tcPr>
                <w:p>
                  <w:pPr>
                    <w:jc w:val="center"/>
                    <w:textAlignment w:val="baseline"/>
                    <w:rPr>
                      <w:szCs w:val="21"/>
                    </w:rPr>
                  </w:pPr>
                </w:p>
              </w:tc>
              <w:tc>
                <w:tcPr>
                  <w:tcW w:w="1142" w:type="dxa"/>
                  <w:vMerge w:val="continue"/>
                  <w:vAlign w:val="center"/>
                </w:tcPr>
                <w:p>
                  <w:pPr>
                    <w:jc w:val="center"/>
                    <w:textAlignment w:val="baseline"/>
                    <w:rPr>
                      <w:szCs w:val="21"/>
                    </w:rPr>
                  </w:pPr>
                </w:p>
              </w:tc>
              <w:tc>
                <w:tcPr>
                  <w:tcW w:w="1197" w:type="dxa"/>
                  <w:vAlign w:val="center"/>
                </w:tcPr>
                <w:p>
                  <w:pPr>
                    <w:jc w:val="center"/>
                    <w:textAlignment w:val="baseline"/>
                    <w:rPr>
                      <w:szCs w:val="21"/>
                    </w:rPr>
                  </w:pPr>
                  <w:r>
                    <w:rPr>
                      <w:szCs w:val="21"/>
                    </w:rPr>
                    <w:t>排放浓度（mg/m</w:t>
                  </w:r>
                  <w:r>
                    <w:rPr>
                      <w:szCs w:val="21"/>
                      <w:vertAlign w:val="superscript"/>
                    </w:rPr>
                    <w:t>3</w:t>
                  </w:r>
                  <w:r>
                    <w:rPr>
                      <w:szCs w:val="21"/>
                    </w:rPr>
                    <w:t>）</w:t>
                  </w:r>
                </w:p>
              </w:tc>
              <w:tc>
                <w:tcPr>
                  <w:tcW w:w="1047" w:type="dxa"/>
                  <w:vAlign w:val="center"/>
                </w:tcPr>
                <w:p>
                  <w:pPr>
                    <w:jc w:val="center"/>
                    <w:textAlignment w:val="baseline"/>
                    <w:rPr>
                      <w:szCs w:val="21"/>
                    </w:rPr>
                  </w:pPr>
                  <w:r>
                    <w:rPr>
                      <w:szCs w:val="21"/>
                    </w:rPr>
                    <w:t>排放速率（kg/h）</w:t>
                  </w:r>
                </w:p>
              </w:tc>
              <w:tc>
                <w:tcPr>
                  <w:tcW w:w="1197" w:type="dxa"/>
                  <w:vAlign w:val="center"/>
                </w:tcPr>
                <w:p>
                  <w:pPr>
                    <w:jc w:val="center"/>
                    <w:textAlignment w:val="baseline"/>
                    <w:rPr>
                      <w:szCs w:val="21"/>
                    </w:rPr>
                  </w:pPr>
                  <w:r>
                    <w:rPr>
                      <w:szCs w:val="21"/>
                    </w:rPr>
                    <w:t>排放浓度（mg/m</w:t>
                  </w:r>
                  <w:r>
                    <w:rPr>
                      <w:szCs w:val="21"/>
                      <w:vertAlign w:val="superscript"/>
                    </w:rPr>
                    <w:t>3</w:t>
                  </w:r>
                  <w:r>
                    <w:rPr>
                      <w:szCs w:val="21"/>
                    </w:rPr>
                    <w:t>）</w:t>
                  </w:r>
                </w:p>
              </w:tc>
              <w:tc>
                <w:tcPr>
                  <w:tcW w:w="1017" w:type="dxa"/>
                  <w:vAlign w:val="center"/>
                </w:tcPr>
                <w:p>
                  <w:pPr>
                    <w:jc w:val="center"/>
                    <w:textAlignment w:val="baseline"/>
                    <w:rPr>
                      <w:szCs w:val="21"/>
                    </w:rPr>
                  </w:pPr>
                  <w:r>
                    <w:rPr>
                      <w:szCs w:val="21"/>
                    </w:rPr>
                    <w:t>排放速率（kg/h）</w:t>
                  </w:r>
                </w:p>
              </w:tc>
              <w:tc>
                <w:tcPr>
                  <w:tcW w:w="670" w:type="dxa"/>
                  <w:vMerge w:val="continue"/>
                  <w:vAlign w:val="center"/>
                </w:tcPr>
                <w:p>
                  <w:pPr>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72" w:type="dxa"/>
                  <w:vAlign w:val="center"/>
                </w:tcPr>
                <w:p>
                  <w:pPr>
                    <w:jc w:val="center"/>
                    <w:textAlignment w:val="baseline"/>
                    <w:rPr>
                      <w:szCs w:val="21"/>
                    </w:rPr>
                  </w:pPr>
                  <w:bookmarkStart w:id="10" w:name="OLE_LINK6" w:colFirst="3" w:colLast="4"/>
                  <w:r>
                    <w:rPr>
                      <w:szCs w:val="21"/>
                    </w:rPr>
                    <w:t>DA001</w:t>
                  </w:r>
                </w:p>
              </w:tc>
              <w:tc>
                <w:tcPr>
                  <w:tcW w:w="1080" w:type="dxa"/>
                  <w:vAlign w:val="center"/>
                </w:tcPr>
                <w:p>
                  <w:pPr>
                    <w:jc w:val="center"/>
                    <w:textAlignment w:val="baseline"/>
                    <w:rPr>
                      <w:szCs w:val="21"/>
                    </w:rPr>
                  </w:pPr>
                  <w:r>
                    <w:rPr>
                      <w:szCs w:val="21"/>
                    </w:rPr>
                    <w:t>生产线</w:t>
                  </w:r>
                </w:p>
              </w:tc>
              <w:tc>
                <w:tcPr>
                  <w:tcW w:w="1142" w:type="dxa"/>
                  <w:vAlign w:val="center"/>
                </w:tcPr>
                <w:p>
                  <w:pPr>
                    <w:jc w:val="center"/>
                    <w:textAlignment w:val="baseline"/>
                    <w:rPr>
                      <w:szCs w:val="21"/>
                    </w:rPr>
                  </w:pPr>
                  <w:r>
                    <w:rPr>
                      <w:szCs w:val="21"/>
                    </w:rPr>
                    <w:t>颗粒物</w:t>
                  </w:r>
                </w:p>
              </w:tc>
              <w:tc>
                <w:tcPr>
                  <w:tcW w:w="1197" w:type="dxa"/>
                  <w:vAlign w:val="center"/>
                </w:tcPr>
                <w:p>
                  <w:pPr>
                    <w:jc w:val="center"/>
                    <w:textAlignment w:val="baseline"/>
                    <w:rPr>
                      <w:szCs w:val="21"/>
                    </w:rPr>
                  </w:pPr>
                  <w:r>
                    <w:rPr>
                      <w:szCs w:val="21"/>
                    </w:rPr>
                    <w:t>8.46</w:t>
                  </w:r>
                </w:p>
              </w:tc>
              <w:tc>
                <w:tcPr>
                  <w:tcW w:w="1047" w:type="dxa"/>
                  <w:vAlign w:val="center"/>
                </w:tcPr>
                <w:p>
                  <w:pPr>
                    <w:jc w:val="center"/>
                    <w:textAlignment w:val="baseline"/>
                    <w:rPr>
                      <w:szCs w:val="21"/>
                    </w:rPr>
                  </w:pPr>
                  <w:r>
                    <w:rPr>
                      <w:szCs w:val="21"/>
                    </w:rPr>
                    <w:t>0.34</w:t>
                  </w:r>
                </w:p>
              </w:tc>
              <w:tc>
                <w:tcPr>
                  <w:tcW w:w="1197" w:type="dxa"/>
                  <w:vAlign w:val="center"/>
                </w:tcPr>
                <w:p>
                  <w:pPr>
                    <w:jc w:val="center"/>
                    <w:textAlignment w:val="baseline"/>
                    <w:rPr>
                      <w:szCs w:val="21"/>
                    </w:rPr>
                  </w:pPr>
                  <w:r>
                    <w:rPr>
                      <w:szCs w:val="21"/>
                    </w:rPr>
                    <w:t>120</w:t>
                  </w:r>
                </w:p>
              </w:tc>
              <w:tc>
                <w:tcPr>
                  <w:tcW w:w="1017" w:type="dxa"/>
                  <w:vAlign w:val="center"/>
                </w:tcPr>
                <w:p>
                  <w:pPr>
                    <w:jc w:val="center"/>
                    <w:textAlignment w:val="baseline"/>
                    <w:rPr>
                      <w:szCs w:val="21"/>
                    </w:rPr>
                  </w:pPr>
                  <w:r>
                    <w:rPr>
                      <w:szCs w:val="21"/>
                    </w:rPr>
                    <w:t>5.9</w:t>
                  </w:r>
                </w:p>
              </w:tc>
              <w:tc>
                <w:tcPr>
                  <w:tcW w:w="670" w:type="dxa"/>
                  <w:vAlign w:val="center"/>
                </w:tcPr>
                <w:p>
                  <w:pPr>
                    <w:jc w:val="center"/>
                    <w:textAlignment w:val="baseline"/>
                    <w:rPr>
                      <w:szCs w:val="21"/>
                    </w:rPr>
                  </w:pPr>
                  <w:r>
                    <w:rPr>
                      <w:szCs w:val="21"/>
                    </w:rPr>
                    <w:t>达标</w:t>
                  </w:r>
                </w:p>
              </w:tc>
            </w:tr>
            <w:bookmarkEnd w:id="10"/>
          </w:tbl>
          <w:p>
            <w:pPr>
              <w:spacing w:before="120" w:beforeLines="50" w:line="360" w:lineRule="auto"/>
              <w:ind w:firstLine="480" w:firstLineChars="200"/>
              <w:textAlignment w:val="baseline"/>
              <w:rPr>
                <w:sz w:val="24"/>
              </w:rPr>
            </w:pPr>
            <w:r>
              <w:rPr>
                <w:sz w:val="24"/>
              </w:rPr>
              <w:t>根据上表可知，项目生产过程中产生的粉尘经处理后，排放浓度可满足</w:t>
            </w:r>
            <w:r>
              <w:rPr>
                <w:bCs/>
                <w:kern w:val="28"/>
                <w:sz w:val="24"/>
              </w:rPr>
              <w:t>《大气污染物综合排放标准》（GB16297-1996）表2中的二级标准要求</w:t>
            </w:r>
            <w:r>
              <w:rPr>
                <w:sz w:val="24"/>
              </w:rPr>
              <w:t>。</w:t>
            </w:r>
          </w:p>
          <w:p>
            <w:pPr>
              <w:adjustRightInd w:val="0"/>
              <w:spacing w:line="360" w:lineRule="auto"/>
              <w:ind w:firstLine="480" w:firstLineChars="200"/>
              <w:rPr>
                <w:kern w:val="0"/>
                <w:sz w:val="24"/>
              </w:rPr>
            </w:pPr>
            <w:r>
              <w:rPr>
                <w:rFonts w:hint="eastAsia" w:ascii="宋体" w:hAnsi="宋体" w:cs="宋体"/>
                <w:kern w:val="0"/>
                <w:sz w:val="24"/>
              </w:rPr>
              <w:t>②</w:t>
            </w:r>
            <w:r>
              <w:rPr>
                <w:kern w:val="0"/>
                <w:sz w:val="24"/>
              </w:rPr>
              <w:t>无组织达标性分析</w:t>
            </w:r>
          </w:p>
          <w:p>
            <w:pPr>
              <w:spacing w:line="360" w:lineRule="auto"/>
              <w:ind w:firstLine="488" w:firstLineChars="200"/>
              <w:rPr>
                <w:bCs/>
                <w:spacing w:val="2"/>
                <w:sz w:val="24"/>
              </w:rPr>
            </w:pPr>
            <w:r>
              <w:rPr>
                <w:rFonts w:hint="eastAsia"/>
                <w:bCs/>
                <w:spacing w:val="2"/>
                <w:sz w:val="24"/>
              </w:rPr>
              <w:t>经采取喷雾喷淋。厂房阻隔等措施后</w:t>
            </w:r>
            <w:r>
              <w:rPr>
                <w:bCs/>
                <w:spacing w:val="2"/>
                <w:sz w:val="24"/>
              </w:rPr>
              <w:t>，项目运营过程中颗粒物无组织排放浓度</w:t>
            </w:r>
            <w:r>
              <w:rPr>
                <w:rFonts w:hint="eastAsia"/>
                <w:bCs/>
                <w:spacing w:val="2"/>
                <w:sz w:val="24"/>
              </w:rPr>
              <w:t>能够</w:t>
            </w:r>
            <w:r>
              <w:rPr>
                <w:bCs/>
                <w:spacing w:val="2"/>
                <w:sz w:val="24"/>
              </w:rPr>
              <w:t>满足《大气污染物综合排放标准》(GB16297-1996)中无组织排放监控浓度限值，对周围环境影响较小。</w:t>
            </w:r>
          </w:p>
          <w:p>
            <w:pPr>
              <w:spacing w:line="360" w:lineRule="auto"/>
              <w:ind w:firstLine="480" w:firstLineChars="200"/>
              <w:rPr>
                <w:sz w:val="24"/>
              </w:rPr>
            </w:pPr>
            <w:r>
              <w:rPr>
                <w:sz w:val="24"/>
              </w:rPr>
              <w:t>（4）非正常排放</w:t>
            </w:r>
          </w:p>
          <w:p>
            <w:pPr>
              <w:spacing w:line="360" w:lineRule="auto"/>
              <w:ind w:firstLine="480" w:firstLineChars="200"/>
              <w:rPr>
                <w:sz w:val="24"/>
              </w:rPr>
            </w:pPr>
            <w:r>
              <w:rPr>
                <w:sz w:val="24"/>
              </w:rPr>
              <w:t>生产装置非正常排放主要指生产过程中工艺设备或环保设施达不到设计规定指标运行时的排污，需做安全处理。在无严格控制措施或污染控制措施失效的情况下，污染物的非正常排放往往成为环境污染的重要因素。本项目主要考虑废气特征因子非正常工况的排放。</w:t>
            </w:r>
          </w:p>
          <w:p>
            <w:pPr>
              <w:spacing w:line="360" w:lineRule="auto"/>
              <w:ind w:firstLine="480" w:firstLineChars="200"/>
              <w:rPr>
                <w:sz w:val="24"/>
              </w:rPr>
            </w:pPr>
            <w:r>
              <w:rPr>
                <w:sz w:val="24"/>
              </w:rPr>
              <w:t>考虑环保设施达不到设计水平的情况，企业将立即停止该工段生产，不会引起长时间的非正常排放。因而，非正常工况仅考虑布袋除尘器处理效率降低，废气排放点环保设施达不到设计水平的情况：</w:t>
            </w:r>
          </w:p>
          <w:p>
            <w:pPr>
              <w:pStyle w:val="2"/>
              <w:spacing w:before="0" w:after="0" w:line="360" w:lineRule="auto"/>
              <w:ind w:right="0" w:firstLine="480" w:firstLineChars="200"/>
              <w:rPr>
                <w:bCs/>
                <w:kern w:val="2"/>
                <w:sz w:val="24"/>
                <w:szCs w:val="24"/>
                <w:lang w:val="zh-CN"/>
              </w:rPr>
            </w:pPr>
            <w:r>
              <w:rPr>
                <w:bCs/>
                <w:kern w:val="2"/>
                <w:sz w:val="24"/>
                <w:szCs w:val="24"/>
                <w:lang w:val="zh-CN"/>
              </w:rPr>
              <w:t>为杜绝废气非正常排放，应采取以下措施确保废气达标排放：</w:t>
            </w:r>
          </w:p>
          <w:p>
            <w:pPr>
              <w:pStyle w:val="2"/>
              <w:spacing w:before="0" w:after="0" w:line="360" w:lineRule="auto"/>
              <w:ind w:right="0" w:firstLine="480" w:firstLineChars="200"/>
              <w:rPr>
                <w:bCs/>
                <w:kern w:val="2"/>
                <w:sz w:val="24"/>
                <w:szCs w:val="24"/>
                <w:lang w:val="zh-CN"/>
              </w:rPr>
            </w:pPr>
            <w:r>
              <w:rPr>
                <w:rFonts w:hint="eastAsia" w:ascii="宋体" w:hAnsi="宋体" w:cs="宋体"/>
                <w:bCs/>
                <w:kern w:val="2"/>
                <w:sz w:val="24"/>
                <w:szCs w:val="24"/>
                <w:lang w:val="zh-CN"/>
              </w:rPr>
              <w:t>①</w:t>
            </w:r>
            <w:r>
              <w:rPr>
                <w:bCs/>
                <w:kern w:val="2"/>
                <w:sz w:val="24"/>
                <w:szCs w:val="24"/>
                <w:lang w:val="zh-CN"/>
              </w:rPr>
              <w:t>安排专人负责环保设备的日常维护和管理，每个固定时间检查、汇报情况，及时发现废气处理设备的隐患，确保废气处理系统正常运行；</w:t>
            </w:r>
          </w:p>
          <w:p>
            <w:pPr>
              <w:pStyle w:val="2"/>
              <w:spacing w:before="0" w:after="0" w:line="360" w:lineRule="auto"/>
              <w:ind w:right="0" w:firstLine="480" w:firstLineChars="200"/>
              <w:rPr>
                <w:bCs/>
                <w:kern w:val="2"/>
                <w:sz w:val="24"/>
                <w:szCs w:val="24"/>
                <w:lang w:val="zh-CN"/>
              </w:rPr>
            </w:pPr>
            <w:r>
              <w:rPr>
                <w:rFonts w:hint="eastAsia" w:ascii="宋体" w:hAnsi="宋体" w:cs="宋体"/>
                <w:bCs/>
                <w:kern w:val="2"/>
                <w:sz w:val="24"/>
                <w:szCs w:val="24"/>
                <w:lang w:val="zh-CN"/>
              </w:rPr>
              <w:t>②</w:t>
            </w:r>
            <w:r>
              <w:rPr>
                <w:bCs/>
                <w:kern w:val="2"/>
                <w:sz w:val="24"/>
                <w:szCs w:val="24"/>
                <w:lang w:val="zh-CN"/>
              </w:rPr>
              <w:t>建立健全的环保管理机构，对环保管理人员和技术人员进行岗位培训，委托具有专业资质的环境检测单位对项目排放的各类污染物进行定期检测；</w:t>
            </w:r>
          </w:p>
          <w:p>
            <w:pPr>
              <w:pStyle w:val="2"/>
              <w:spacing w:before="0" w:after="0" w:line="360" w:lineRule="auto"/>
              <w:ind w:right="0" w:firstLine="480" w:firstLineChars="200"/>
              <w:rPr>
                <w:bCs/>
                <w:kern w:val="2"/>
                <w:sz w:val="24"/>
                <w:szCs w:val="24"/>
                <w:lang w:val="zh-CN"/>
              </w:rPr>
            </w:pPr>
            <w:r>
              <w:rPr>
                <w:rFonts w:hint="eastAsia" w:ascii="宋体" w:hAnsi="宋体" w:cs="宋体"/>
                <w:bCs/>
                <w:kern w:val="2"/>
                <w:sz w:val="24"/>
                <w:szCs w:val="24"/>
                <w:lang w:val="zh-CN"/>
              </w:rPr>
              <w:t>③</w:t>
            </w:r>
            <w:r>
              <w:rPr>
                <w:bCs/>
                <w:kern w:val="2"/>
                <w:sz w:val="24"/>
                <w:szCs w:val="24"/>
                <w:lang w:val="zh-CN"/>
              </w:rPr>
              <w:t>应定期维护、检修布袋除尘器，以保持布袋除尘器的净化能力和净化容量。</w:t>
            </w:r>
          </w:p>
          <w:p>
            <w:pPr>
              <w:spacing w:line="360" w:lineRule="auto"/>
              <w:ind w:left="420" w:leftChars="200"/>
              <w:textAlignment w:val="baseline"/>
              <w:rPr>
                <w:sz w:val="24"/>
              </w:rPr>
            </w:pPr>
            <w:r>
              <w:rPr>
                <w:sz w:val="24"/>
              </w:rPr>
              <w:t>（5）污染防治措施可行性分析</w:t>
            </w:r>
          </w:p>
          <w:p>
            <w:pPr>
              <w:spacing w:line="360" w:lineRule="auto"/>
              <w:ind w:firstLine="480" w:firstLineChars="200"/>
              <w:textAlignment w:val="baseline"/>
              <w:rPr>
                <w:sz w:val="24"/>
              </w:rPr>
            </w:pPr>
            <w:r>
              <w:rPr>
                <w:sz w:val="24"/>
              </w:rPr>
              <w:t>本项目主要进行</w:t>
            </w:r>
            <w:r>
              <w:rPr>
                <w:rFonts w:hint="eastAsia"/>
                <w:sz w:val="24"/>
              </w:rPr>
              <w:t>水洗砂、碎石</w:t>
            </w:r>
            <w:r>
              <w:rPr>
                <w:sz w:val="24"/>
              </w:rPr>
              <w:t>的生产加工，参照《排污许可证申请与核发技术规范 总则》（HJ942-2018）及《排污许可证申请与核发技术规范 石墨及其他非金属矿物制品制造》（HJ1119-2020）中“表A.1石墨、碳素制品生产排污单位废气污染防治可行技术参照表”参考表中“原料准备环节（除煅烧）、返回料处理环节、机加工环节、其他工艺流程中原料准备环节、以及磨机、破碎机、震动筛、运输机、给料机、吸料天车、清理机等对应含颗粒物的废气”，颗粒物采用袋式除尘法处理属于可行技术。</w:t>
            </w:r>
          </w:p>
          <w:p>
            <w:pPr>
              <w:spacing w:line="360" w:lineRule="auto"/>
              <w:ind w:firstLine="480" w:firstLineChars="200"/>
              <w:textAlignment w:val="baseline"/>
              <w:rPr>
                <w:sz w:val="24"/>
              </w:rPr>
            </w:pPr>
            <w:r>
              <w:rPr>
                <w:sz w:val="24"/>
              </w:rPr>
              <w:t>（6）监测要求</w:t>
            </w:r>
          </w:p>
          <w:p>
            <w:pPr>
              <w:pStyle w:val="44"/>
              <w:spacing w:line="360" w:lineRule="auto"/>
              <w:ind w:firstLine="480" w:firstLineChars="200"/>
              <w:rPr>
                <w:rFonts w:ascii="Times New Roman" w:cs="Times New Roman"/>
                <w:b w:val="0"/>
                <w:color w:val="auto"/>
              </w:rPr>
            </w:pPr>
            <w:r>
              <w:rPr>
                <w:rFonts w:ascii="Times New Roman" w:cs="Times New Roman"/>
                <w:b w:val="0"/>
                <w:color w:val="auto"/>
              </w:rPr>
              <w:t>项目环境监测计划详见下表。</w:t>
            </w:r>
          </w:p>
          <w:p>
            <w:pPr>
              <w:pStyle w:val="44"/>
              <w:spacing w:line="360" w:lineRule="auto"/>
              <w:ind w:firstLine="482" w:firstLineChars="200"/>
              <w:jc w:val="center"/>
              <w:rPr>
                <w:rFonts w:ascii="Times New Roman" w:cs="Times New Roman"/>
                <w:bCs/>
                <w:color w:val="auto"/>
              </w:rPr>
            </w:pPr>
          </w:p>
          <w:p>
            <w:pPr>
              <w:spacing w:before="120" w:beforeLines="50" w:line="360" w:lineRule="auto"/>
              <w:jc w:val="center"/>
              <w:rPr>
                <w:b/>
                <w:bCs/>
                <w:szCs w:val="21"/>
              </w:rPr>
            </w:pPr>
            <w:r>
              <w:rPr>
                <w:b/>
                <w:bCs/>
                <w:szCs w:val="21"/>
              </w:rPr>
              <w:t>表4-4   废气监测内容及计划一览表</w:t>
            </w:r>
          </w:p>
          <w:tbl>
            <w:tblPr>
              <w:tblStyle w:val="26"/>
              <w:tblW w:w="8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1380"/>
              <w:gridCol w:w="1410"/>
              <w:gridCol w:w="900"/>
              <w:gridCol w:w="1335"/>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3" w:type="dxa"/>
                  <w:vAlign w:val="center"/>
                </w:tcPr>
                <w:p>
                  <w:pPr>
                    <w:pStyle w:val="44"/>
                    <w:spacing w:line="240" w:lineRule="auto"/>
                    <w:jc w:val="center"/>
                    <w:rPr>
                      <w:rFonts w:ascii="Times New Roman" w:cs="Times New Roman"/>
                      <w:b w:val="0"/>
                      <w:color w:val="auto"/>
                      <w:sz w:val="21"/>
                      <w:szCs w:val="21"/>
                    </w:rPr>
                  </w:pPr>
                  <w:r>
                    <w:rPr>
                      <w:rFonts w:ascii="Times New Roman" w:cs="Times New Roman"/>
                      <w:b w:val="0"/>
                      <w:color w:val="auto"/>
                      <w:sz w:val="21"/>
                      <w:szCs w:val="21"/>
                    </w:rPr>
                    <w:t>项目</w:t>
                  </w:r>
                </w:p>
              </w:tc>
              <w:tc>
                <w:tcPr>
                  <w:tcW w:w="1380" w:type="dxa"/>
                  <w:vAlign w:val="center"/>
                </w:tcPr>
                <w:p>
                  <w:pPr>
                    <w:pStyle w:val="44"/>
                    <w:spacing w:line="240" w:lineRule="auto"/>
                    <w:jc w:val="center"/>
                    <w:rPr>
                      <w:rFonts w:ascii="Times New Roman" w:cs="Times New Roman"/>
                      <w:b w:val="0"/>
                      <w:color w:val="auto"/>
                      <w:sz w:val="21"/>
                      <w:szCs w:val="21"/>
                    </w:rPr>
                  </w:pPr>
                  <w:r>
                    <w:rPr>
                      <w:rFonts w:ascii="Times New Roman" w:cs="Times New Roman"/>
                      <w:b w:val="0"/>
                      <w:color w:val="auto"/>
                      <w:sz w:val="21"/>
                      <w:szCs w:val="21"/>
                    </w:rPr>
                    <w:t>监测点位置</w:t>
                  </w:r>
                </w:p>
              </w:tc>
              <w:tc>
                <w:tcPr>
                  <w:tcW w:w="1410" w:type="dxa"/>
                  <w:vAlign w:val="center"/>
                </w:tcPr>
                <w:p>
                  <w:pPr>
                    <w:pStyle w:val="44"/>
                    <w:spacing w:line="240" w:lineRule="auto"/>
                    <w:jc w:val="center"/>
                    <w:rPr>
                      <w:rFonts w:ascii="Times New Roman" w:cs="Times New Roman"/>
                      <w:b w:val="0"/>
                      <w:color w:val="auto"/>
                      <w:sz w:val="21"/>
                      <w:szCs w:val="21"/>
                    </w:rPr>
                  </w:pPr>
                  <w:r>
                    <w:rPr>
                      <w:rFonts w:ascii="Times New Roman" w:cs="Times New Roman"/>
                      <w:b w:val="0"/>
                      <w:color w:val="auto"/>
                      <w:sz w:val="21"/>
                      <w:szCs w:val="21"/>
                    </w:rPr>
                    <w:t>监测点</w:t>
                  </w:r>
                </w:p>
              </w:tc>
              <w:tc>
                <w:tcPr>
                  <w:tcW w:w="900" w:type="dxa"/>
                  <w:vAlign w:val="center"/>
                </w:tcPr>
                <w:p>
                  <w:pPr>
                    <w:pStyle w:val="44"/>
                    <w:spacing w:line="240" w:lineRule="auto"/>
                    <w:jc w:val="center"/>
                    <w:rPr>
                      <w:rFonts w:ascii="Times New Roman" w:cs="Times New Roman"/>
                      <w:b w:val="0"/>
                      <w:color w:val="auto"/>
                      <w:sz w:val="21"/>
                      <w:szCs w:val="21"/>
                    </w:rPr>
                  </w:pPr>
                  <w:r>
                    <w:rPr>
                      <w:rFonts w:ascii="Times New Roman" w:cs="Times New Roman"/>
                      <w:b w:val="0"/>
                      <w:color w:val="auto"/>
                      <w:sz w:val="21"/>
                      <w:szCs w:val="21"/>
                    </w:rPr>
                    <w:t>监测因子</w:t>
                  </w:r>
                </w:p>
              </w:tc>
              <w:tc>
                <w:tcPr>
                  <w:tcW w:w="1335" w:type="dxa"/>
                  <w:vAlign w:val="center"/>
                </w:tcPr>
                <w:p>
                  <w:pPr>
                    <w:pStyle w:val="44"/>
                    <w:spacing w:line="240" w:lineRule="auto"/>
                    <w:jc w:val="center"/>
                    <w:rPr>
                      <w:rFonts w:ascii="Times New Roman" w:cs="Times New Roman"/>
                      <w:b w:val="0"/>
                      <w:color w:val="auto"/>
                      <w:sz w:val="21"/>
                      <w:szCs w:val="21"/>
                    </w:rPr>
                  </w:pPr>
                  <w:r>
                    <w:rPr>
                      <w:rFonts w:ascii="Times New Roman" w:cs="Times New Roman"/>
                      <w:b w:val="0"/>
                      <w:color w:val="auto"/>
                      <w:sz w:val="21"/>
                      <w:szCs w:val="21"/>
                    </w:rPr>
                    <w:t>监测频次</w:t>
                  </w:r>
                </w:p>
              </w:tc>
              <w:tc>
                <w:tcPr>
                  <w:tcW w:w="2214" w:type="dxa"/>
                  <w:vAlign w:val="center"/>
                </w:tcPr>
                <w:p>
                  <w:pPr>
                    <w:pStyle w:val="44"/>
                    <w:spacing w:line="240" w:lineRule="auto"/>
                    <w:jc w:val="center"/>
                    <w:rPr>
                      <w:rFonts w:ascii="Times New Roman" w:cs="Times New Roman"/>
                      <w:b w:val="0"/>
                      <w:color w:val="auto"/>
                      <w:sz w:val="21"/>
                      <w:szCs w:val="21"/>
                    </w:rPr>
                  </w:pPr>
                  <w:r>
                    <w:rPr>
                      <w:rFonts w:ascii="Times New Roman" w:cs="Times New Roman"/>
                      <w:b w:val="0"/>
                      <w:color w:val="auto"/>
                      <w:sz w:val="21"/>
                      <w:szCs w:val="21"/>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3" w:type="dxa"/>
                  <w:vAlign w:val="center"/>
                </w:tcPr>
                <w:p>
                  <w:pPr>
                    <w:pStyle w:val="44"/>
                    <w:spacing w:line="240" w:lineRule="auto"/>
                    <w:jc w:val="center"/>
                    <w:rPr>
                      <w:rFonts w:ascii="Times New Roman" w:cs="Times New Roman"/>
                      <w:b w:val="0"/>
                      <w:color w:val="auto"/>
                      <w:sz w:val="21"/>
                      <w:szCs w:val="21"/>
                    </w:rPr>
                  </w:pPr>
                  <w:r>
                    <w:rPr>
                      <w:rFonts w:ascii="Times New Roman" w:cs="Times New Roman"/>
                      <w:b w:val="0"/>
                      <w:color w:val="auto"/>
                      <w:sz w:val="21"/>
                      <w:szCs w:val="21"/>
                    </w:rPr>
                    <w:t>有组织废气</w:t>
                  </w:r>
                </w:p>
              </w:tc>
              <w:tc>
                <w:tcPr>
                  <w:tcW w:w="1380" w:type="dxa"/>
                  <w:vAlign w:val="center"/>
                </w:tcPr>
                <w:p>
                  <w:pPr>
                    <w:pStyle w:val="44"/>
                    <w:spacing w:line="240" w:lineRule="auto"/>
                    <w:jc w:val="center"/>
                    <w:rPr>
                      <w:rFonts w:ascii="Times New Roman" w:cs="Times New Roman"/>
                      <w:b w:val="0"/>
                      <w:color w:val="auto"/>
                      <w:sz w:val="21"/>
                      <w:szCs w:val="21"/>
                    </w:rPr>
                  </w:pPr>
                  <w:r>
                    <w:rPr>
                      <w:rFonts w:ascii="Times New Roman" w:cs="Times New Roman"/>
                      <w:b w:val="0"/>
                      <w:color w:val="auto"/>
                      <w:sz w:val="21"/>
                      <w:szCs w:val="21"/>
                    </w:rPr>
                    <w:t>DA001</w:t>
                  </w:r>
                </w:p>
              </w:tc>
              <w:tc>
                <w:tcPr>
                  <w:tcW w:w="1410" w:type="dxa"/>
                  <w:vAlign w:val="center"/>
                </w:tcPr>
                <w:p>
                  <w:pPr>
                    <w:pStyle w:val="44"/>
                    <w:spacing w:line="240" w:lineRule="auto"/>
                    <w:jc w:val="center"/>
                    <w:rPr>
                      <w:rFonts w:ascii="Times New Roman" w:cs="Times New Roman"/>
                      <w:b w:val="0"/>
                      <w:color w:val="auto"/>
                      <w:sz w:val="21"/>
                      <w:szCs w:val="21"/>
                    </w:rPr>
                  </w:pPr>
                  <w:r>
                    <w:rPr>
                      <w:rFonts w:hint="eastAsia" w:ascii="Times New Roman" w:cs="Times New Roman"/>
                      <w:b w:val="0"/>
                      <w:color w:val="auto"/>
                      <w:sz w:val="21"/>
                      <w:szCs w:val="21"/>
                    </w:rPr>
                    <w:t>排气筒</w:t>
                  </w:r>
                  <w:r>
                    <w:rPr>
                      <w:rFonts w:ascii="Times New Roman" w:cs="Times New Roman"/>
                      <w:b w:val="0"/>
                      <w:color w:val="auto"/>
                      <w:sz w:val="21"/>
                      <w:szCs w:val="21"/>
                    </w:rPr>
                    <w:t>出口</w:t>
                  </w:r>
                </w:p>
              </w:tc>
              <w:tc>
                <w:tcPr>
                  <w:tcW w:w="900" w:type="dxa"/>
                  <w:vAlign w:val="center"/>
                </w:tcPr>
                <w:p>
                  <w:pPr>
                    <w:pStyle w:val="44"/>
                    <w:spacing w:line="240" w:lineRule="auto"/>
                    <w:jc w:val="center"/>
                    <w:rPr>
                      <w:rFonts w:ascii="Times New Roman" w:cs="Times New Roman"/>
                      <w:b w:val="0"/>
                      <w:color w:val="auto"/>
                      <w:sz w:val="21"/>
                      <w:szCs w:val="21"/>
                    </w:rPr>
                  </w:pPr>
                  <w:r>
                    <w:rPr>
                      <w:rFonts w:ascii="Times New Roman" w:cs="Times New Roman"/>
                      <w:b w:val="0"/>
                      <w:color w:val="auto"/>
                      <w:sz w:val="21"/>
                      <w:szCs w:val="21"/>
                    </w:rPr>
                    <w:t>颗粒物</w:t>
                  </w:r>
                </w:p>
              </w:tc>
              <w:tc>
                <w:tcPr>
                  <w:tcW w:w="1335" w:type="dxa"/>
                  <w:vAlign w:val="center"/>
                </w:tcPr>
                <w:p>
                  <w:pPr>
                    <w:pStyle w:val="44"/>
                    <w:spacing w:line="240" w:lineRule="auto"/>
                    <w:jc w:val="center"/>
                    <w:rPr>
                      <w:rFonts w:ascii="Times New Roman" w:cs="Times New Roman"/>
                      <w:b w:val="0"/>
                      <w:color w:val="auto"/>
                      <w:sz w:val="21"/>
                      <w:szCs w:val="21"/>
                    </w:rPr>
                  </w:pPr>
                  <w:r>
                    <w:rPr>
                      <w:rFonts w:ascii="Times New Roman" w:cs="Times New Roman"/>
                      <w:b w:val="0"/>
                      <w:color w:val="auto"/>
                      <w:sz w:val="21"/>
                      <w:szCs w:val="21"/>
                    </w:rPr>
                    <w:t>1次/年</w:t>
                  </w:r>
                </w:p>
              </w:tc>
              <w:tc>
                <w:tcPr>
                  <w:tcW w:w="2214" w:type="dxa"/>
                  <w:vMerge w:val="restart"/>
                  <w:vAlign w:val="center"/>
                </w:tcPr>
                <w:p>
                  <w:pPr>
                    <w:pStyle w:val="44"/>
                    <w:spacing w:line="240" w:lineRule="auto"/>
                    <w:jc w:val="center"/>
                    <w:rPr>
                      <w:rFonts w:ascii="Times New Roman" w:cs="Times New Roman"/>
                      <w:b w:val="0"/>
                      <w:color w:val="auto"/>
                      <w:sz w:val="21"/>
                      <w:szCs w:val="21"/>
                    </w:rPr>
                  </w:pPr>
                  <w:r>
                    <w:rPr>
                      <w:rFonts w:ascii="Times New Roman" w:cs="Times New Roman"/>
                      <w:b w:val="0"/>
                      <w:color w:val="auto"/>
                      <w:sz w:val="21"/>
                      <w:szCs w:val="21"/>
                    </w:rPr>
                    <w:t>《大气污染物综合排放标准》（GB16297-1996）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3" w:type="dxa"/>
                  <w:vAlign w:val="center"/>
                </w:tcPr>
                <w:p>
                  <w:pPr>
                    <w:pStyle w:val="44"/>
                    <w:spacing w:line="240" w:lineRule="auto"/>
                    <w:jc w:val="center"/>
                    <w:rPr>
                      <w:rFonts w:ascii="Times New Roman" w:cs="Times New Roman"/>
                      <w:b w:val="0"/>
                      <w:color w:val="auto"/>
                      <w:sz w:val="21"/>
                      <w:szCs w:val="21"/>
                    </w:rPr>
                  </w:pPr>
                  <w:r>
                    <w:rPr>
                      <w:rFonts w:ascii="Times New Roman" w:cs="Times New Roman"/>
                      <w:b w:val="0"/>
                      <w:color w:val="auto"/>
                      <w:sz w:val="21"/>
                      <w:szCs w:val="21"/>
                    </w:rPr>
                    <w:t>无组织废气</w:t>
                  </w:r>
                </w:p>
              </w:tc>
              <w:tc>
                <w:tcPr>
                  <w:tcW w:w="1380" w:type="dxa"/>
                  <w:vAlign w:val="center"/>
                </w:tcPr>
                <w:p>
                  <w:pPr>
                    <w:pStyle w:val="44"/>
                    <w:spacing w:line="240" w:lineRule="auto"/>
                    <w:jc w:val="center"/>
                    <w:rPr>
                      <w:rFonts w:ascii="Times New Roman" w:cs="Times New Roman"/>
                      <w:b w:val="0"/>
                      <w:color w:val="auto"/>
                      <w:sz w:val="21"/>
                      <w:szCs w:val="21"/>
                    </w:rPr>
                  </w:pPr>
                  <w:r>
                    <w:rPr>
                      <w:rFonts w:ascii="Times New Roman" w:cs="Times New Roman"/>
                      <w:b w:val="0"/>
                      <w:color w:val="auto"/>
                      <w:sz w:val="21"/>
                      <w:szCs w:val="21"/>
                    </w:rPr>
                    <w:t>厂区上、下风向厂界外10m</w:t>
                  </w:r>
                </w:p>
              </w:tc>
              <w:tc>
                <w:tcPr>
                  <w:tcW w:w="1410" w:type="dxa"/>
                  <w:vAlign w:val="center"/>
                </w:tcPr>
                <w:p>
                  <w:pPr>
                    <w:pStyle w:val="44"/>
                    <w:spacing w:line="240" w:lineRule="auto"/>
                    <w:jc w:val="center"/>
                    <w:rPr>
                      <w:rFonts w:ascii="Times New Roman" w:cs="Times New Roman"/>
                      <w:b w:val="0"/>
                      <w:color w:val="auto"/>
                      <w:sz w:val="21"/>
                      <w:szCs w:val="21"/>
                    </w:rPr>
                  </w:pPr>
                  <w:r>
                    <w:rPr>
                      <w:rFonts w:ascii="Times New Roman" w:cs="Times New Roman"/>
                      <w:b w:val="0"/>
                      <w:color w:val="auto"/>
                      <w:sz w:val="21"/>
                      <w:szCs w:val="21"/>
                    </w:rPr>
                    <w:t>上风向1个</w:t>
                  </w:r>
                </w:p>
                <w:p>
                  <w:pPr>
                    <w:pStyle w:val="44"/>
                    <w:spacing w:line="240" w:lineRule="auto"/>
                    <w:jc w:val="center"/>
                    <w:rPr>
                      <w:rFonts w:ascii="Times New Roman" w:cs="Times New Roman"/>
                      <w:b w:val="0"/>
                      <w:color w:val="auto"/>
                      <w:sz w:val="21"/>
                      <w:szCs w:val="21"/>
                    </w:rPr>
                  </w:pPr>
                  <w:r>
                    <w:rPr>
                      <w:rFonts w:ascii="Times New Roman" w:cs="Times New Roman"/>
                      <w:b w:val="0"/>
                      <w:color w:val="auto"/>
                      <w:sz w:val="21"/>
                      <w:szCs w:val="21"/>
                    </w:rPr>
                    <w:t>下风向3个</w:t>
                  </w:r>
                </w:p>
              </w:tc>
              <w:tc>
                <w:tcPr>
                  <w:tcW w:w="900" w:type="dxa"/>
                  <w:vAlign w:val="center"/>
                </w:tcPr>
                <w:p>
                  <w:pPr>
                    <w:pStyle w:val="44"/>
                    <w:spacing w:line="240" w:lineRule="auto"/>
                    <w:jc w:val="center"/>
                    <w:rPr>
                      <w:rFonts w:ascii="Times New Roman" w:cs="Times New Roman"/>
                      <w:b w:val="0"/>
                      <w:color w:val="auto"/>
                      <w:sz w:val="21"/>
                      <w:szCs w:val="21"/>
                    </w:rPr>
                  </w:pPr>
                  <w:r>
                    <w:rPr>
                      <w:rFonts w:ascii="Times New Roman" w:cs="Times New Roman"/>
                      <w:b w:val="0"/>
                      <w:color w:val="auto"/>
                      <w:sz w:val="21"/>
                      <w:szCs w:val="21"/>
                    </w:rPr>
                    <w:t>颗粒物</w:t>
                  </w:r>
                </w:p>
              </w:tc>
              <w:tc>
                <w:tcPr>
                  <w:tcW w:w="1335" w:type="dxa"/>
                  <w:vAlign w:val="center"/>
                </w:tcPr>
                <w:p>
                  <w:pPr>
                    <w:pStyle w:val="44"/>
                    <w:spacing w:line="240" w:lineRule="auto"/>
                    <w:jc w:val="center"/>
                    <w:rPr>
                      <w:rFonts w:ascii="Times New Roman" w:cs="Times New Roman"/>
                      <w:b w:val="0"/>
                      <w:color w:val="auto"/>
                      <w:sz w:val="21"/>
                      <w:szCs w:val="21"/>
                    </w:rPr>
                  </w:pPr>
                  <w:r>
                    <w:rPr>
                      <w:rFonts w:ascii="Times New Roman" w:cs="Times New Roman"/>
                      <w:b w:val="0"/>
                      <w:color w:val="auto"/>
                      <w:sz w:val="21"/>
                      <w:szCs w:val="21"/>
                    </w:rPr>
                    <w:t>1次/年</w:t>
                  </w:r>
                </w:p>
              </w:tc>
              <w:tc>
                <w:tcPr>
                  <w:tcW w:w="2214" w:type="dxa"/>
                  <w:vMerge w:val="continue"/>
                  <w:vAlign w:val="center"/>
                </w:tcPr>
                <w:p>
                  <w:pPr>
                    <w:pStyle w:val="44"/>
                    <w:spacing w:line="240" w:lineRule="auto"/>
                    <w:jc w:val="center"/>
                    <w:rPr>
                      <w:rFonts w:ascii="Times New Roman" w:cs="Times New Roman"/>
                      <w:bCs/>
                      <w:color w:val="auto"/>
                      <w:sz w:val="21"/>
                      <w:szCs w:val="21"/>
                    </w:rPr>
                  </w:pPr>
                </w:p>
              </w:tc>
            </w:tr>
          </w:tbl>
          <w:p>
            <w:pPr>
              <w:spacing w:line="360" w:lineRule="auto"/>
              <w:rPr>
                <w:b/>
                <w:bCs/>
                <w:sz w:val="24"/>
              </w:rPr>
            </w:pPr>
          </w:p>
          <w:p>
            <w:pPr>
              <w:spacing w:line="360" w:lineRule="auto"/>
              <w:rPr>
                <w:b/>
                <w:bCs/>
                <w:sz w:val="24"/>
              </w:rPr>
            </w:pPr>
            <w:r>
              <w:rPr>
                <w:b/>
                <w:bCs/>
                <w:sz w:val="24"/>
              </w:rPr>
              <w:t>4.2.2</w:t>
            </w:r>
            <w:r>
              <w:rPr>
                <w:rFonts w:hint="eastAsia"/>
                <w:b/>
                <w:bCs/>
                <w:sz w:val="24"/>
              </w:rPr>
              <w:t>水环境影响分析</w:t>
            </w:r>
          </w:p>
          <w:p>
            <w:pPr>
              <w:spacing w:line="360" w:lineRule="auto"/>
              <w:ind w:firstLine="480" w:firstLineChars="200"/>
              <w:rPr>
                <w:snapToGrid w:val="0"/>
                <w:sz w:val="24"/>
              </w:rPr>
            </w:pPr>
            <w:r>
              <w:rPr>
                <w:sz w:val="24"/>
              </w:rPr>
              <w:t>（1）废水产排情况及水质特征</w:t>
            </w:r>
          </w:p>
          <w:p>
            <w:pPr>
              <w:spacing w:line="360" w:lineRule="auto"/>
              <w:ind w:firstLine="480" w:firstLineChars="200"/>
              <w:rPr>
                <w:sz w:val="24"/>
              </w:rPr>
            </w:pPr>
            <w:r>
              <w:rPr>
                <w:sz w:val="24"/>
              </w:rPr>
              <w:t>本项目主要产生生产废水及生活污水。</w:t>
            </w:r>
          </w:p>
          <w:p>
            <w:pPr>
              <w:spacing w:line="360" w:lineRule="auto"/>
              <w:ind w:firstLine="480" w:firstLineChars="200"/>
              <w:rPr>
                <w:sz w:val="24"/>
              </w:rPr>
            </w:pPr>
            <w:r>
              <w:rPr>
                <w:rFonts w:hint="eastAsia" w:ascii="宋体" w:hAnsi="宋体" w:cs="宋体"/>
                <w:sz w:val="24"/>
              </w:rPr>
              <w:t>①</w:t>
            </w:r>
            <w:r>
              <w:rPr>
                <w:sz w:val="24"/>
              </w:rPr>
              <w:t>生产废水</w:t>
            </w:r>
          </w:p>
          <w:p>
            <w:pPr>
              <w:spacing w:line="360" w:lineRule="auto"/>
              <w:ind w:firstLine="480" w:firstLineChars="200"/>
              <w:rPr>
                <w:sz w:val="24"/>
              </w:rPr>
            </w:pPr>
            <w:r>
              <w:rPr>
                <w:sz w:val="24"/>
              </w:rPr>
              <w:t>根据水平衡分析可知，项目运营期，原料堆场洒水、喷淋、道路洒水均自然蒸发，无废水产生</w:t>
            </w:r>
            <w:r>
              <w:rPr>
                <w:rFonts w:hint="eastAsia"/>
                <w:sz w:val="24"/>
              </w:rPr>
              <w:t>。</w:t>
            </w:r>
            <w:r>
              <w:rPr>
                <w:sz w:val="24"/>
              </w:rPr>
              <w:t>产生</w:t>
            </w:r>
            <w:r>
              <w:rPr>
                <w:rFonts w:hint="eastAsia"/>
                <w:sz w:val="24"/>
              </w:rPr>
              <w:t>的</w:t>
            </w:r>
            <w:r>
              <w:rPr>
                <w:sz w:val="24"/>
              </w:rPr>
              <w:t>洗砂废水经污水处理设施处理后，</w:t>
            </w:r>
            <w:r>
              <w:rPr>
                <w:rFonts w:hint="eastAsia"/>
                <w:sz w:val="24"/>
              </w:rPr>
              <w:t>循环</w:t>
            </w:r>
            <w:r>
              <w:rPr>
                <w:sz w:val="24"/>
              </w:rPr>
              <w:t>使用于洗砂过程，不外排；车辆清洗水采取沉淀池沉淀后循环使用，不外排。</w:t>
            </w:r>
          </w:p>
          <w:p>
            <w:pPr>
              <w:spacing w:line="360" w:lineRule="auto"/>
              <w:ind w:firstLine="480" w:firstLineChars="200"/>
              <w:rPr>
                <w:bCs/>
                <w:sz w:val="24"/>
              </w:rPr>
            </w:pPr>
            <w:r>
              <w:rPr>
                <w:rFonts w:hint="eastAsia" w:ascii="宋体" w:hAnsi="宋体" w:cs="宋体"/>
                <w:bCs/>
                <w:sz w:val="24"/>
              </w:rPr>
              <w:t>②</w:t>
            </w:r>
            <w:r>
              <w:rPr>
                <w:bCs/>
                <w:sz w:val="24"/>
              </w:rPr>
              <w:t>职工生活污水</w:t>
            </w:r>
          </w:p>
          <w:p>
            <w:pPr>
              <w:pStyle w:val="44"/>
              <w:spacing w:line="360" w:lineRule="auto"/>
              <w:ind w:firstLine="480" w:firstLineChars="200"/>
              <w:rPr>
                <w:rFonts w:ascii="Times New Roman" w:cs="Times New Roman"/>
                <w:b w:val="0"/>
                <w:color w:val="auto"/>
              </w:rPr>
            </w:pPr>
            <w:r>
              <w:rPr>
                <w:rFonts w:hint="eastAsia" w:ascii="Times New Roman" w:cs="Times New Roman"/>
                <w:b w:val="0"/>
                <w:color w:val="auto"/>
              </w:rPr>
              <w:t>生活污水产生量较小，经防渗旱厕收集后定期清掏用作农肥，不外排。</w:t>
            </w:r>
          </w:p>
          <w:p>
            <w:pPr>
              <w:pStyle w:val="44"/>
              <w:spacing w:line="360" w:lineRule="auto"/>
              <w:ind w:firstLine="480" w:firstLineChars="200"/>
              <w:rPr>
                <w:rFonts w:ascii="Times New Roman" w:cs="Times New Roman"/>
                <w:b w:val="0"/>
                <w:color w:val="auto"/>
              </w:rPr>
            </w:pPr>
            <w:r>
              <w:rPr>
                <w:rFonts w:ascii="Times New Roman" w:cs="Times New Roman"/>
                <w:b w:val="0"/>
                <w:color w:val="auto"/>
              </w:rPr>
              <w:t>（3）治理方式可行性分析</w:t>
            </w:r>
          </w:p>
          <w:p>
            <w:pPr>
              <w:spacing w:line="360" w:lineRule="auto"/>
              <w:ind w:firstLine="480" w:firstLineChars="200"/>
              <w:rPr>
                <w:rStyle w:val="85"/>
                <w:sz w:val="24"/>
              </w:rPr>
            </w:pPr>
            <w:r>
              <w:rPr>
                <w:rStyle w:val="85"/>
                <w:rFonts w:hint="eastAsia" w:ascii="宋体" w:hAnsi="宋体" w:cs="宋体"/>
                <w:sz w:val="24"/>
              </w:rPr>
              <w:t>①</w:t>
            </w:r>
            <w:r>
              <w:rPr>
                <w:rStyle w:val="85"/>
                <w:sz w:val="24"/>
              </w:rPr>
              <w:t>生产废水处理可行性分析</w:t>
            </w:r>
          </w:p>
          <w:p>
            <w:pPr>
              <w:spacing w:line="360" w:lineRule="auto"/>
              <w:ind w:firstLine="480" w:firstLineChars="200"/>
              <w:rPr>
                <w:sz w:val="24"/>
              </w:rPr>
            </w:pPr>
            <w:r>
              <w:rPr>
                <w:rStyle w:val="85"/>
                <w:sz w:val="24"/>
              </w:rPr>
              <w:t>生产产生的废水通过建设单位自建的污水处理系统处理，污水处理系统通过絮凝剂使泥水初步分离，分离后的水可循环使用，泥经过压滤机压滤其中水分以循环利用，含水率极低的泥饼可做土方回填，整个过程完全实现零排放。</w:t>
            </w:r>
            <w:r>
              <w:rPr>
                <w:sz w:val="24"/>
              </w:rPr>
              <w:t>本项目污水处理系统处理能力为500m</w:t>
            </w:r>
            <w:r>
              <w:rPr>
                <w:sz w:val="24"/>
                <w:vertAlign w:val="superscript"/>
              </w:rPr>
              <w:t>3</w:t>
            </w:r>
            <w:r>
              <w:rPr>
                <w:sz w:val="24"/>
              </w:rPr>
              <w:t>/h，可满足项目循环生产用水的暂存。</w:t>
            </w:r>
          </w:p>
          <w:p>
            <w:pPr>
              <w:pStyle w:val="44"/>
              <w:spacing w:line="360" w:lineRule="auto"/>
              <w:ind w:firstLine="480" w:firstLineChars="200"/>
              <w:rPr>
                <w:rFonts w:ascii="Times New Roman" w:cs="Times New Roman"/>
                <w:color w:val="auto"/>
              </w:rPr>
            </w:pPr>
            <w:r>
              <w:rPr>
                <w:rFonts w:ascii="Times New Roman" w:cs="Times New Roman"/>
                <w:b w:val="0"/>
                <w:bCs/>
                <w:color w:val="auto"/>
              </w:rPr>
              <w:t>综上所述，在采取以上污水处理措施后，能够有效的减小污废水对水环境的影响，项目采取的污水处理措施是合理可行的。</w:t>
            </w:r>
          </w:p>
          <w:p>
            <w:pPr>
              <w:spacing w:line="360" w:lineRule="auto"/>
              <w:rPr>
                <w:b/>
                <w:bCs/>
                <w:sz w:val="24"/>
              </w:rPr>
            </w:pPr>
            <w:r>
              <w:rPr>
                <w:b/>
                <w:bCs/>
                <w:sz w:val="24"/>
              </w:rPr>
              <w:t xml:space="preserve">4.2.3 </w:t>
            </w:r>
            <w:r>
              <w:rPr>
                <w:rFonts w:hint="eastAsia"/>
                <w:b/>
                <w:bCs/>
                <w:sz w:val="24"/>
              </w:rPr>
              <w:t>声环境影响分析</w:t>
            </w:r>
          </w:p>
          <w:p>
            <w:pPr>
              <w:autoSpaceDE w:val="0"/>
              <w:autoSpaceDN w:val="0"/>
              <w:spacing w:line="360" w:lineRule="auto"/>
              <w:ind w:firstLine="480" w:firstLineChars="200"/>
              <w:rPr>
                <w:bCs/>
                <w:sz w:val="24"/>
              </w:rPr>
            </w:pPr>
            <w:r>
              <w:rPr>
                <w:sz w:val="24"/>
              </w:rPr>
              <w:t>（1）噪声源</w:t>
            </w:r>
            <w:r>
              <w:rPr>
                <w:rFonts w:hint="eastAsia"/>
                <w:sz w:val="24"/>
              </w:rPr>
              <w:t>强</w:t>
            </w:r>
          </w:p>
          <w:p>
            <w:pPr>
              <w:spacing w:line="360" w:lineRule="auto"/>
              <w:ind w:firstLine="480" w:firstLineChars="200"/>
              <w:rPr>
                <w:sz w:val="24"/>
              </w:rPr>
            </w:pPr>
            <w:r>
              <w:rPr>
                <w:sz w:val="24"/>
              </w:rPr>
              <w:t>项目运行期间主要为车间设备运行过程产生的机械噪声，其噪声值为75~90dB（A），噪声源强见下表：</w:t>
            </w:r>
          </w:p>
          <w:p>
            <w:pPr>
              <w:spacing w:before="120" w:beforeLines="50" w:line="360" w:lineRule="auto"/>
              <w:jc w:val="center"/>
              <w:rPr>
                <w:b/>
                <w:bCs/>
                <w:szCs w:val="21"/>
              </w:rPr>
            </w:pPr>
            <w:r>
              <w:rPr>
                <w:b/>
                <w:bCs/>
                <w:szCs w:val="21"/>
              </w:rPr>
              <w:t>表4-5  项目噪声源情况一览表  单位：dB（A）</w:t>
            </w:r>
          </w:p>
          <w:tbl>
            <w:tblPr>
              <w:tblStyle w:val="26"/>
              <w:tblW w:w="8228"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2049"/>
              <w:gridCol w:w="1056"/>
              <w:gridCol w:w="721"/>
              <w:gridCol w:w="1134"/>
              <w:gridCol w:w="1308"/>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 w:type="pct"/>
                  <w:vAlign w:val="center"/>
                </w:tcPr>
                <w:p>
                  <w:pPr>
                    <w:widowControl/>
                    <w:jc w:val="center"/>
                    <w:rPr>
                      <w:szCs w:val="21"/>
                    </w:rPr>
                  </w:pPr>
                  <w:r>
                    <w:rPr>
                      <w:szCs w:val="21"/>
                    </w:rPr>
                    <w:t>序号</w:t>
                  </w:r>
                </w:p>
              </w:tc>
              <w:tc>
                <w:tcPr>
                  <w:tcW w:w="1245" w:type="pct"/>
                  <w:vAlign w:val="center"/>
                </w:tcPr>
                <w:p>
                  <w:pPr>
                    <w:widowControl/>
                    <w:jc w:val="center"/>
                    <w:rPr>
                      <w:szCs w:val="21"/>
                    </w:rPr>
                  </w:pPr>
                  <w:r>
                    <w:rPr>
                      <w:szCs w:val="21"/>
                    </w:rPr>
                    <w:t>噪声源</w:t>
                  </w:r>
                </w:p>
              </w:tc>
              <w:tc>
                <w:tcPr>
                  <w:tcW w:w="642" w:type="pct"/>
                  <w:vAlign w:val="center"/>
                </w:tcPr>
                <w:p>
                  <w:pPr>
                    <w:widowControl/>
                    <w:jc w:val="center"/>
                    <w:rPr>
                      <w:szCs w:val="21"/>
                    </w:rPr>
                  </w:pPr>
                  <w:r>
                    <w:rPr>
                      <w:szCs w:val="21"/>
                    </w:rPr>
                    <w:t>数量</w:t>
                  </w:r>
                </w:p>
                <w:p>
                  <w:pPr>
                    <w:widowControl/>
                    <w:jc w:val="center"/>
                    <w:rPr>
                      <w:szCs w:val="21"/>
                    </w:rPr>
                  </w:pPr>
                  <w:r>
                    <w:rPr>
                      <w:szCs w:val="21"/>
                    </w:rPr>
                    <w:t>（台/套）</w:t>
                  </w:r>
                </w:p>
              </w:tc>
              <w:tc>
                <w:tcPr>
                  <w:tcW w:w="438" w:type="pct"/>
                  <w:vAlign w:val="center"/>
                </w:tcPr>
                <w:p>
                  <w:pPr>
                    <w:widowControl/>
                    <w:jc w:val="center"/>
                    <w:rPr>
                      <w:szCs w:val="21"/>
                    </w:rPr>
                  </w:pPr>
                  <w:r>
                    <w:rPr>
                      <w:szCs w:val="21"/>
                    </w:rPr>
                    <w:t>产生</w:t>
                  </w:r>
                </w:p>
                <w:p>
                  <w:pPr>
                    <w:widowControl/>
                    <w:jc w:val="center"/>
                    <w:rPr>
                      <w:szCs w:val="21"/>
                    </w:rPr>
                  </w:pPr>
                  <w:r>
                    <w:rPr>
                      <w:szCs w:val="21"/>
                    </w:rPr>
                    <w:t>强度</w:t>
                  </w:r>
                </w:p>
              </w:tc>
              <w:tc>
                <w:tcPr>
                  <w:tcW w:w="689" w:type="pct"/>
                  <w:vAlign w:val="center"/>
                </w:tcPr>
                <w:p>
                  <w:pPr>
                    <w:widowControl/>
                    <w:jc w:val="center"/>
                    <w:rPr>
                      <w:szCs w:val="21"/>
                    </w:rPr>
                  </w:pPr>
                  <w:r>
                    <w:rPr>
                      <w:szCs w:val="21"/>
                    </w:rPr>
                    <w:t>治理措施</w:t>
                  </w:r>
                </w:p>
              </w:tc>
              <w:tc>
                <w:tcPr>
                  <w:tcW w:w="795" w:type="pct"/>
                  <w:vAlign w:val="center"/>
                </w:tcPr>
                <w:p>
                  <w:pPr>
                    <w:widowControl/>
                    <w:jc w:val="center"/>
                    <w:rPr>
                      <w:szCs w:val="21"/>
                    </w:rPr>
                  </w:pPr>
                  <w:r>
                    <w:rPr>
                      <w:szCs w:val="21"/>
                    </w:rPr>
                    <w:t>衰减至车间外的噪声级</w:t>
                  </w:r>
                </w:p>
              </w:tc>
              <w:tc>
                <w:tcPr>
                  <w:tcW w:w="897" w:type="pct"/>
                  <w:vAlign w:val="center"/>
                </w:tcPr>
                <w:p>
                  <w:pPr>
                    <w:widowControl/>
                    <w:jc w:val="center"/>
                    <w:rPr>
                      <w:szCs w:val="21"/>
                    </w:rPr>
                  </w:pPr>
                  <w:r>
                    <w:rPr>
                      <w:szCs w:val="21"/>
                    </w:rPr>
                    <w:t>排放规律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 w:type="pct"/>
                  <w:vAlign w:val="center"/>
                </w:tcPr>
                <w:p>
                  <w:pPr>
                    <w:widowControl/>
                    <w:jc w:val="center"/>
                    <w:rPr>
                      <w:szCs w:val="21"/>
                    </w:rPr>
                  </w:pPr>
                  <w:r>
                    <w:rPr>
                      <w:szCs w:val="21"/>
                    </w:rPr>
                    <w:t>1</w:t>
                  </w:r>
                </w:p>
              </w:tc>
              <w:tc>
                <w:tcPr>
                  <w:tcW w:w="1245" w:type="pct"/>
                  <w:vAlign w:val="center"/>
                </w:tcPr>
                <w:p>
                  <w:pPr>
                    <w:widowControl/>
                    <w:jc w:val="center"/>
                    <w:rPr>
                      <w:szCs w:val="21"/>
                    </w:rPr>
                  </w:pPr>
                  <w:r>
                    <w:rPr>
                      <w:szCs w:val="21"/>
                    </w:rPr>
                    <w:t>振动给料机</w:t>
                  </w:r>
                </w:p>
              </w:tc>
              <w:tc>
                <w:tcPr>
                  <w:tcW w:w="642" w:type="pct"/>
                  <w:vAlign w:val="center"/>
                </w:tcPr>
                <w:p>
                  <w:pPr>
                    <w:widowControl/>
                    <w:jc w:val="center"/>
                    <w:rPr>
                      <w:szCs w:val="21"/>
                    </w:rPr>
                  </w:pPr>
                  <w:r>
                    <w:rPr>
                      <w:rFonts w:hint="eastAsia"/>
                      <w:szCs w:val="21"/>
                    </w:rPr>
                    <w:t>2</w:t>
                  </w:r>
                </w:p>
              </w:tc>
              <w:tc>
                <w:tcPr>
                  <w:tcW w:w="438" w:type="pct"/>
                  <w:vAlign w:val="center"/>
                </w:tcPr>
                <w:p>
                  <w:pPr>
                    <w:widowControl/>
                    <w:jc w:val="center"/>
                    <w:rPr>
                      <w:szCs w:val="21"/>
                    </w:rPr>
                  </w:pPr>
                  <w:r>
                    <w:rPr>
                      <w:szCs w:val="21"/>
                    </w:rPr>
                    <w:t>75-80</w:t>
                  </w:r>
                </w:p>
              </w:tc>
              <w:tc>
                <w:tcPr>
                  <w:tcW w:w="689" w:type="pct"/>
                  <w:vMerge w:val="restart"/>
                  <w:vAlign w:val="center"/>
                </w:tcPr>
                <w:p>
                  <w:pPr>
                    <w:widowControl/>
                    <w:jc w:val="center"/>
                    <w:rPr>
                      <w:szCs w:val="21"/>
                    </w:rPr>
                  </w:pPr>
                  <w:r>
                    <w:rPr>
                      <w:rFonts w:hint="eastAsia"/>
                      <w:szCs w:val="21"/>
                    </w:rPr>
                    <w:t>合理布局、基础减振、厂房隔声</w:t>
                  </w:r>
                </w:p>
                <w:p>
                  <w:pPr>
                    <w:jc w:val="center"/>
                    <w:rPr>
                      <w:szCs w:val="21"/>
                    </w:rPr>
                  </w:pPr>
                </w:p>
              </w:tc>
              <w:tc>
                <w:tcPr>
                  <w:tcW w:w="795" w:type="pct"/>
                  <w:vAlign w:val="center"/>
                </w:tcPr>
                <w:p>
                  <w:pPr>
                    <w:widowControl/>
                    <w:jc w:val="center"/>
                    <w:rPr>
                      <w:szCs w:val="21"/>
                    </w:rPr>
                  </w:pPr>
                  <w:r>
                    <w:rPr>
                      <w:szCs w:val="21"/>
                    </w:rPr>
                    <w:t>55</w:t>
                  </w:r>
                </w:p>
              </w:tc>
              <w:tc>
                <w:tcPr>
                  <w:tcW w:w="897" w:type="pct"/>
                  <w:vAlign w:val="center"/>
                </w:tcPr>
                <w:p>
                  <w:pPr>
                    <w:widowControl/>
                    <w:jc w:val="center"/>
                    <w:rPr>
                      <w:szCs w:val="21"/>
                    </w:rPr>
                  </w:pPr>
                  <w:r>
                    <w:rPr>
                      <w:szCs w:val="21"/>
                    </w:rPr>
                    <w:t>室内、间歇性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 w:type="pct"/>
                  <w:vAlign w:val="center"/>
                </w:tcPr>
                <w:p>
                  <w:pPr>
                    <w:widowControl/>
                    <w:jc w:val="center"/>
                    <w:rPr>
                      <w:szCs w:val="21"/>
                    </w:rPr>
                  </w:pPr>
                  <w:r>
                    <w:rPr>
                      <w:szCs w:val="21"/>
                    </w:rPr>
                    <w:t>2</w:t>
                  </w:r>
                </w:p>
              </w:tc>
              <w:tc>
                <w:tcPr>
                  <w:tcW w:w="1245" w:type="pct"/>
                  <w:vAlign w:val="center"/>
                </w:tcPr>
                <w:p>
                  <w:pPr>
                    <w:widowControl/>
                    <w:jc w:val="center"/>
                    <w:rPr>
                      <w:szCs w:val="21"/>
                    </w:rPr>
                  </w:pPr>
                  <w:r>
                    <w:rPr>
                      <w:szCs w:val="21"/>
                    </w:rPr>
                    <w:t>颚式破碎机</w:t>
                  </w:r>
                </w:p>
              </w:tc>
              <w:tc>
                <w:tcPr>
                  <w:tcW w:w="642" w:type="pct"/>
                  <w:vAlign w:val="center"/>
                </w:tcPr>
                <w:p>
                  <w:pPr>
                    <w:widowControl/>
                    <w:jc w:val="center"/>
                    <w:rPr>
                      <w:szCs w:val="21"/>
                    </w:rPr>
                  </w:pPr>
                  <w:r>
                    <w:rPr>
                      <w:rFonts w:hint="eastAsia"/>
                      <w:szCs w:val="21"/>
                    </w:rPr>
                    <w:t>2</w:t>
                  </w:r>
                </w:p>
              </w:tc>
              <w:tc>
                <w:tcPr>
                  <w:tcW w:w="438" w:type="pct"/>
                  <w:vAlign w:val="center"/>
                </w:tcPr>
                <w:p>
                  <w:pPr>
                    <w:widowControl/>
                    <w:jc w:val="center"/>
                    <w:rPr>
                      <w:szCs w:val="21"/>
                    </w:rPr>
                  </w:pPr>
                  <w:r>
                    <w:rPr>
                      <w:szCs w:val="21"/>
                    </w:rPr>
                    <w:t>85</w:t>
                  </w:r>
                </w:p>
              </w:tc>
              <w:tc>
                <w:tcPr>
                  <w:tcW w:w="689" w:type="pct"/>
                  <w:vMerge w:val="continue"/>
                  <w:vAlign w:val="center"/>
                </w:tcPr>
                <w:p>
                  <w:pPr>
                    <w:jc w:val="center"/>
                    <w:rPr>
                      <w:szCs w:val="21"/>
                    </w:rPr>
                  </w:pPr>
                </w:p>
              </w:tc>
              <w:tc>
                <w:tcPr>
                  <w:tcW w:w="795" w:type="pct"/>
                  <w:vAlign w:val="center"/>
                </w:tcPr>
                <w:p>
                  <w:pPr>
                    <w:widowControl/>
                    <w:jc w:val="center"/>
                    <w:rPr>
                      <w:szCs w:val="21"/>
                    </w:rPr>
                  </w:pPr>
                  <w:r>
                    <w:rPr>
                      <w:szCs w:val="21"/>
                    </w:rPr>
                    <w:t>60</w:t>
                  </w:r>
                </w:p>
              </w:tc>
              <w:tc>
                <w:tcPr>
                  <w:tcW w:w="897" w:type="pct"/>
                  <w:vAlign w:val="center"/>
                </w:tcPr>
                <w:p>
                  <w:pPr>
                    <w:widowControl/>
                    <w:jc w:val="center"/>
                    <w:rPr>
                      <w:szCs w:val="21"/>
                    </w:rPr>
                  </w:pPr>
                  <w:r>
                    <w:rPr>
                      <w:szCs w:val="21"/>
                    </w:rPr>
                    <w:t>室内、间歇性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 w:type="pct"/>
                  <w:vAlign w:val="center"/>
                </w:tcPr>
                <w:p>
                  <w:pPr>
                    <w:widowControl/>
                    <w:jc w:val="center"/>
                    <w:rPr>
                      <w:szCs w:val="21"/>
                    </w:rPr>
                  </w:pPr>
                  <w:r>
                    <w:rPr>
                      <w:szCs w:val="21"/>
                    </w:rPr>
                    <w:t>3</w:t>
                  </w:r>
                </w:p>
              </w:tc>
              <w:tc>
                <w:tcPr>
                  <w:tcW w:w="1245" w:type="pct"/>
                  <w:vAlign w:val="center"/>
                </w:tcPr>
                <w:p>
                  <w:pPr>
                    <w:widowControl/>
                    <w:jc w:val="center"/>
                    <w:rPr>
                      <w:szCs w:val="21"/>
                    </w:rPr>
                  </w:pPr>
                  <w:r>
                    <w:rPr>
                      <w:szCs w:val="21"/>
                    </w:rPr>
                    <w:t>反击式破碎机</w:t>
                  </w:r>
                </w:p>
              </w:tc>
              <w:tc>
                <w:tcPr>
                  <w:tcW w:w="642" w:type="pct"/>
                  <w:vAlign w:val="center"/>
                </w:tcPr>
                <w:p>
                  <w:pPr>
                    <w:widowControl/>
                    <w:jc w:val="center"/>
                    <w:rPr>
                      <w:szCs w:val="21"/>
                    </w:rPr>
                  </w:pPr>
                  <w:r>
                    <w:rPr>
                      <w:rFonts w:hint="eastAsia"/>
                      <w:szCs w:val="21"/>
                    </w:rPr>
                    <w:t>1</w:t>
                  </w:r>
                </w:p>
              </w:tc>
              <w:tc>
                <w:tcPr>
                  <w:tcW w:w="438" w:type="pct"/>
                  <w:vAlign w:val="center"/>
                </w:tcPr>
                <w:p>
                  <w:pPr>
                    <w:widowControl/>
                    <w:jc w:val="center"/>
                    <w:rPr>
                      <w:szCs w:val="21"/>
                    </w:rPr>
                  </w:pPr>
                  <w:r>
                    <w:rPr>
                      <w:szCs w:val="21"/>
                    </w:rPr>
                    <w:t>85</w:t>
                  </w:r>
                </w:p>
              </w:tc>
              <w:tc>
                <w:tcPr>
                  <w:tcW w:w="689" w:type="pct"/>
                  <w:vMerge w:val="continue"/>
                  <w:vAlign w:val="center"/>
                </w:tcPr>
                <w:p>
                  <w:pPr>
                    <w:jc w:val="center"/>
                    <w:rPr>
                      <w:szCs w:val="21"/>
                    </w:rPr>
                  </w:pPr>
                </w:p>
              </w:tc>
              <w:tc>
                <w:tcPr>
                  <w:tcW w:w="795" w:type="pct"/>
                  <w:vAlign w:val="center"/>
                </w:tcPr>
                <w:p>
                  <w:pPr>
                    <w:widowControl/>
                    <w:jc w:val="center"/>
                    <w:rPr>
                      <w:szCs w:val="21"/>
                    </w:rPr>
                  </w:pPr>
                  <w:r>
                    <w:rPr>
                      <w:szCs w:val="21"/>
                    </w:rPr>
                    <w:t>60</w:t>
                  </w:r>
                </w:p>
              </w:tc>
              <w:tc>
                <w:tcPr>
                  <w:tcW w:w="897" w:type="pct"/>
                  <w:vAlign w:val="center"/>
                </w:tcPr>
                <w:p>
                  <w:pPr>
                    <w:widowControl/>
                    <w:jc w:val="center"/>
                    <w:rPr>
                      <w:szCs w:val="21"/>
                    </w:rPr>
                  </w:pPr>
                  <w:r>
                    <w:rPr>
                      <w:szCs w:val="21"/>
                    </w:rPr>
                    <w:t>室内、间歇性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 w:type="pct"/>
                  <w:vAlign w:val="center"/>
                </w:tcPr>
                <w:p>
                  <w:pPr>
                    <w:widowControl/>
                    <w:jc w:val="center"/>
                    <w:rPr>
                      <w:szCs w:val="21"/>
                    </w:rPr>
                  </w:pPr>
                  <w:r>
                    <w:rPr>
                      <w:szCs w:val="21"/>
                    </w:rPr>
                    <w:t>4</w:t>
                  </w:r>
                </w:p>
              </w:tc>
              <w:tc>
                <w:tcPr>
                  <w:tcW w:w="1245" w:type="pct"/>
                  <w:vAlign w:val="center"/>
                </w:tcPr>
                <w:p>
                  <w:pPr>
                    <w:widowControl/>
                    <w:jc w:val="center"/>
                    <w:rPr>
                      <w:szCs w:val="21"/>
                    </w:rPr>
                  </w:pPr>
                  <w:r>
                    <w:rPr>
                      <w:szCs w:val="21"/>
                    </w:rPr>
                    <w:t>复合圆锥机</w:t>
                  </w:r>
                </w:p>
              </w:tc>
              <w:tc>
                <w:tcPr>
                  <w:tcW w:w="642" w:type="pct"/>
                  <w:vAlign w:val="center"/>
                </w:tcPr>
                <w:p>
                  <w:pPr>
                    <w:widowControl/>
                    <w:jc w:val="center"/>
                    <w:rPr>
                      <w:szCs w:val="21"/>
                    </w:rPr>
                  </w:pPr>
                  <w:r>
                    <w:rPr>
                      <w:rFonts w:hint="eastAsia"/>
                      <w:szCs w:val="21"/>
                    </w:rPr>
                    <w:t>1</w:t>
                  </w:r>
                </w:p>
              </w:tc>
              <w:tc>
                <w:tcPr>
                  <w:tcW w:w="438" w:type="pct"/>
                  <w:vAlign w:val="center"/>
                </w:tcPr>
                <w:p>
                  <w:pPr>
                    <w:widowControl/>
                    <w:jc w:val="center"/>
                    <w:rPr>
                      <w:szCs w:val="21"/>
                    </w:rPr>
                  </w:pPr>
                  <w:r>
                    <w:rPr>
                      <w:szCs w:val="21"/>
                    </w:rPr>
                    <w:t>85</w:t>
                  </w:r>
                </w:p>
              </w:tc>
              <w:tc>
                <w:tcPr>
                  <w:tcW w:w="689" w:type="pct"/>
                  <w:vMerge w:val="continue"/>
                  <w:vAlign w:val="center"/>
                </w:tcPr>
                <w:p>
                  <w:pPr>
                    <w:jc w:val="center"/>
                    <w:rPr>
                      <w:szCs w:val="21"/>
                    </w:rPr>
                  </w:pPr>
                </w:p>
              </w:tc>
              <w:tc>
                <w:tcPr>
                  <w:tcW w:w="795" w:type="pct"/>
                  <w:vAlign w:val="center"/>
                </w:tcPr>
                <w:p>
                  <w:pPr>
                    <w:widowControl/>
                    <w:jc w:val="center"/>
                    <w:rPr>
                      <w:szCs w:val="21"/>
                    </w:rPr>
                  </w:pPr>
                  <w:r>
                    <w:rPr>
                      <w:szCs w:val="21"/>
                    </w:rPr>
                    <w:t>60</w:t>
                  </w:r>
                </w:p>
              </w:tc>
              <w:tc>
                <w:tcPr>
                  <w:tcW w:w="897" w:type="pct"/>
                  <w:vAlign w:val="center"/>
                </w:tcPr>
                <w:p>
                  <w:pPr>
                    <w:widowControl/>
                    <w:jc w:val="center"/>
                    <w:rPr>
                      <w:szCs w:val="21"/>
                    </w:rPr>
                  </w:pPr>
                  <w:r>
                    <w:rPr>
                      <w:szCs w:val="21"/>
                    </w:rPr>
                    <w:t>室内、间歇性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 w:type="pct"/>
                  <w:vAlign w:val="center"/>
                </w:tcPr>
                <w:p>
                  <w:pPr>
                    <w:widowControl/>
                    <w:jc w:val="center"/>
                    <w:rPr>
                      <w:szCs w:val="21"/>
                    </w:rPr>
                  </w:pPr>
                  <w:r>
                    <w:rPr>
                      <w:szCs w:val="21"/>
                    </w:rPr>
                    <w:t>5</w:t>
                  </w:r>
                </w:p>
              </w:tc>
              <w:tc>
                <w:tcPr>
                  <w:tcW w:w="1245" w:type="pct"/>
                  <w:vAlign w:val="center"/>
                </w:tcPr>
                <w:p>
                  <w:pPr>
                    <w:widowControl/>
                    <w:jc w:val="center"/>
                    <w:rPr>
                      <w:szCs w:val="21"/>
                    </w:rPr>
                  </w:pPr>
                  <w:r>
                    <w:rPr>
                      <w:szCs w:val="21"/>
                    </w:rPr>
                    <w:t>圆振动筛</w:t>
                  </w:r>
                </w:p>
              </w:tc>
              <w:tc>
                <w:tcPr>
                  <w:tcW w:w="642" w:type="pct"/>
                  <w:vAlign w:val="center"/>
                </w:tcPr>
                <w:p>
                  <w:pPr>
                    <w:widowControl/>
                    <w:jc w:val="center"/>
                    <w:rPr>
                      <w:szCs w:val="21"/>
                    </w:rPr>
                  </w:pPr>
                  <w:r>
                    <w:rPr>
                      <w:rFonts w:hint="eastAsia"/>
                      <w:szCs w:val="21"/>
                    </w:rPr>
                    <w:t>1</w:t>
                  </w:r>
                </w:p>
              </w:tc>
              <w:tc>
                <w:tcPr>
                  <w:tcW w:w="438" w:type="pct"/>
                  <w:vAlign w:val="center"/>
                </w:tcPr>
                <w:p>
                  <w:pPr>
                    <w:widowControl/>
                    <w:jc w:val="center"/>
                    <w:rPr>
                      <w:szCs w:val="21"/>
                    </w:rPr>
                  </w:pPr>
                  <w:r>
                    <w:rPr>
                      <w:szCs w:val="21"/>
                    </w:rPr>
                    <w:t>80</w:t>
                  </w:r>
                </w:p>
              </w:tc>
              <w:tc>
                <w:tcPr>
                  <w:tcW w:w="689" w:type="pct"/>
                  <w:vMerge w:val="continue"/>
                  <w:vAlign w:val="center"/>
                </w:tcPr>
                <w:p>
                  <w:pPr>
                    <w:jc w:val="center"/>
                    <w:rPr>
                      <w:szCs w:val="21"/>
                    </w:rPr>
                  </w:pPr>
                </w:p>
              </w:tc>
              <w:tc>
                <w:tcPr>
                  <w:tcW w:w="795" w:type="pct"/>
                  <w:vAlign w:val="center"/>
                </w:tcPr>
                <w:p>
                  <w:pPr>
                    <w:widowControl/>
                    <w:jc w:val="center"/>
                    <w:rPr>
                      <w:szCs w:val="21"/>
                    </w:rPr>
                  </w:pPr>
                  <w:r>
                    <w:rPr>
                      <w:szCs w:val="21"/>
                    </w:rPr>
                    <w:t>55</w:t>
                  </w:r>
                </w:p>
              </w:tc>
              <w:tc>
                <w:tcPr>
                  <w:tcW w:w="897" w:type="pct"/>
                  <w:vAlign w:val="center"/>
                </w:tcPr>
                <w:p>
                  <w:pPr>
                    <w:widowControl/>
                    <w:jc w:val="center"/>
                    <w:rPr>
                      <w:szCs w:val="21"/>
                    </w:rPr>
                  </w:pPr>
                  <w:r>
                    <w:rPr>
                      <w:szCs w:val="21"/>
                    </w:rPr>
                    <w:t>室内、间歇性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 w:type="pct"/>
                  <w:vAlign w:val="center"/>
                </w:tcPr>
                <w:p>
                  <w:pPr>
                    <w:widowControl/>
                    <w:jc w:val="center"/>
                    <w:rPr>
                      <w:szCs w:val="21"/>
                    </w:rPr>
                  </w:pPr>
                  <w:r>
                    <w:rPr>
                      <w:szCs w:val="21"/>
                    </w:rPr>
                    <w:t>6</w:t>
                  </w:r>
                </w:p>
              </w:tc>
              <w:tc>
                <w:tcPr>
                  <w:tcW w:w="1245" w:type="pct"/>
                  <w:vAlign w:val="center"/>
                </w:tcPr>
                <w:p>
                  <w:pPr>
                    <w:widowControl/>
                    <w:jc w:val="center"/>
                    <w:rPr>
                      <w:szCs w:val="21"/>
                    </w:rPr>
                  </w:pPr>
                  <w:r>
                    <w:rPr>
                      <w:szCs w:val="21"/>
                    </w:rPr>
                    <w:t>圆振动筛</w:t>
                  </w:r>
                </w:p>
              </w:tc>
              <w:tc>
                <w:tcPr>
                  <w:tcW w:w="642" w:type="pct"/>
                  <w:vAlign w:val="center"/>
                </w:tcPr>
                <w:p>
                  <w:pPr>
                    <w:widowControl/>
                    <w:jc w:val="center"/>
                    <w:rPr>
                      <w:szCs w:val="21"/>
                    </w:rPr>
                  </w:pPr>
                  <w:r>
                    <w:rPr>
                      <w:rFonts w:hint="eastAsia"/>
                      <w:szCs w:val="21"/>
                    </w:rPr>
                    <w:t>2</w:t>
                  </w:r>
                </w:p>
              </w:tc>
              <w:tc>
                <w:tcPr>
                  <w:tcW w:w="438" w:type="pct"/>
                  <w:vAlign w:val="center"/>
                </w:tcPr>
                <w:p>
                  <w:pPr>
                    <w:widowControl/>
                    <w:jc w:val="center"/>
                    <w:rPr>
                      <w:szCs w:val="21"/>
                    </w:rPr>
                  </w:pPr>
                  <w:r>
                    <w:rPr>
                      <w:szCs w:val="21"/>
                    </w:rPr>
                    <w:t>80</w:t>
                  </w:r>
                </w:p>
              </w:tc>
              <w:tc>
                <w:tcPr>
                  <w:tcW w:w="689" w:type="pct"/>
                  <w:vMerge w:val="continue"/>
                  <w:vAlign w:val="center"/>
                </w:tcPr>
                <w:p>
                  <w:pPr>
                    <w:jc w:val="center"/>
                    <w:rPr>
                      <w:szCs w:val="21"/>
                    </w:rPr>
                  </w:pPr>
                </w:p>
              </w:tc>
              <w:tc>
                <w:tcPr>
                  <w:tcW w:w="795" w:type="pct"/>
                  <w:vAlign w:val="center"/>
                </w:tcPr>
                <w:p>
                  <w:pPr>
                    <w:widowControl/>
                    <w:jc w:val="center"/>
                    <w:rPr>
                      <w:szCs w:val="21"/>
                    </w:rPr>
                  </w:pPr>
                  <w:r>
                    <w:rPr>
                      <w:szCs w:val="21"/>
                    </w:rPr>
                    <w:t>55</w:t>
                  </w:r>
                </w:p>
              </w:tc>
              <w:tc>
                <w:tcPr>
                  <w:tcW w:w="897" w:type="pct"/>
                  <w:vAlign w:val="center"/>
                </w:tcPr>
                <w:p>
                  <w:pPr>
                    <w:widowControl/>
                    <w:jc w:val="center"/>
                    <w:rPr>
                      <w:szCs w:val="21"/>
                    </w:rPr>
                  </w:pPr>
                  <w:r>
                    <w:rPr>
                      <w:szCs w:val="21"/>
                    </w:rPr>
                    <w:t>室内、间歇性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 w:type="pct"/>
                  <w:vAlign w:val="center"/>
                </w:tcPr>
                <w:p>
                  <w:pPr>
                    <w:widowControl/>
                    <w:jc w:val="center"/>
                    <w:rPr>
                      <w:szCs w:val="21"/>
                    </w:rPr>
                  </w:pPr>
                  <w:r>
                    <w:rPr>
                      <w:szCs w:val="21"/>
                    </w:rPr>
                    <w:t>7</w:t>
                  </w:r>
                </w:p>
              </w:tc>
              <w:tc>
                <w:tcPr>
                  <w:tcW w:w="1245" w:type="pct"/>
                  <w:vAlign w:val="center"/>
                </w:tcPr>
                <w:p>
                  <w:pPr>
                    <w:widowControl/>
                    <w:jc w:val="center"/>
                    <w:rPr>
                      <w:szCs w:val="21"/>
                    </w:rPr>
                  </w:pPr>
                  <w:r>
                    <w:rPr>
                      <w:szCs w:val="21"/>
                    </w:rPr>
                    <w:t>脱水回收机</w:t>
                  </w:r>
                </w:p>
              </w:tc>
              <w:tc>
                <w:tcPr>
                  <w:tcW w:w="642" w:type="pct"/>
                  <w:vAlign w:val="center"/>
                </w:tcPr>
                <w:p>
                  <w:pPr>
                    <w:widowControl/>
                    <w:jc w:val="center"/>
                    <w:rPr>
                      <w:szCs w:val="21"/>
                    </w:rPr>
                  </w:pPr>
                  <w:r>
                    <w:rPr>
                      <w:rFonts w:hint="eastAsia"/>
                      <w:szCs w:val="21"/>
                    </w:rPr>
                    <w:t>2</w:t>
                  </w:r>
                </w:p>
              </w:tc>
              <w:tc>
                <w:tcPr>
                  <w:tcW w:w="438" w:type="pct"/>
                  <w:vAlign w:val="center"/>
                </w:tcPr>
                <w:p>
                  <w:pPr>
                    <w:widowControl/>
                    <w:jc w:val="center"/>
                    <w:rPr>
                      <w:szCs w:val="21"/>
                    </w:rPr>
                  </w:pPr>
                  <w:r>
                    <w:rPr>
                      <w:szCs w:val="21"/>
                    </w:rPr>
                    <w:t>75</w:t>
                  </w:r>
                </w:p>
              </w:tc>
              <w:tc>
                <w:tcPr>
                  <w:tcW w:w="689" w:type="pct"/>
                  <w:vMerge w:val="continue"/>
                  <w:vAlign w:val="center"/>
                </w:tcPr>
                <w:p>
                  <w:pPr>
                    <w:jc w:val="center"/>
                    <w:rPr>
                      <w:szCs w:val="21"/>
                    </w:rPr>
                  </w:pPr>
                </w:p>
              </w:tc>
              <w:tc>
                <w:tcPr>
                  <w:tcW w:w="795" w:type="pct"/>
                  <w:vAlign w:val="center"/>
                </w:tcPr>
                <w:p>
                  <w:pPr>
                    <w:widowControl/>
                    <w:jc w:val="center"/>
                    <w:rPr>
                      <w:szCs w:val="21"/>
                    </w:rPr>
                  </w:pPr>
                  <w:r>
                    <w:rPr>
                      <w:szCs w:val="21"/>
                    </w:rPr>
                    <w:t>50</w:t>
                  </w:r>
                </w:p>
              </w:tc>
              <w:tc>
                <w:tcPr>
                  <w:tcW w:w="897" w:type="pct"/>
                  <w:vAlign w:val="center"/>
                </w:tcPr>
                <w:p>
                  <w:pPr>
                    <w:widowControl/>
                    <w:jc w:val="center"/>
                    <w:rPr>
                      <w:szCs w:val="21"/>
                    </w:rPr>
                  </w:pPr>
                  <w:r>
                    <w:rPr>
                      <w:szCs w:val="21"/>
                    </w:rPr>
                    <w:t>室内、间歇性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 w:type="pct"/>
                  <w:vAlign w:val="center"/>
                </w:tcPr>
                <w:p>
                  <w:pPr>
                    <w:widowControl/>
                    <w:jc w:val="center"/>
                    <w:rPr>
                      <w:szCs w:val="21"/>
                    </w:rPr>
                  </w:pPr>
                  <w:r>
                    <w:rPr>
                      <w:szCs w:val="21"/>
                    </w:rPr>
                    <w:t>8</w:t>
                  </w:r>
                </w:p>
              </w:tc>
              <w:tc>
                <w:tcPr>
                  <w:tcW w:w="1245" w:type="pct"/>
                  <w:vAlign w:val="center"/>
                </w:tcPr>
                <w:p>
                  <w:pPr>
                    <w:widowControl/>
                    <w:jc w:val="center"/>
                    <w:rPr>
                      <w:szCs w:val="21"/>
                    </w:rPr>
                  </w:pPr>
                  <w:r>
                    <w:rPr>
                      <w:szCs w:val="21"/>
                    </w:rPr>
                    <w:t>板式压滤机</w:t>
                  </w:r>
                </w:p>
              </w:tc>
              <w:tc>
                <w:tcPr>
                  <w:tcW w:w="642" w:type="pct"/>
                  <w:vAlign w:val="center"/>
                </w:tcPr>
                <w:p>
                  <w:pPr>
                    <w:widowControl/>
                    <w:jc w:val="center"/>
                    <w:rPr>
                      <w:szCs w:val="21"/>
                    </w:rPr>
                  </w:pPr>
                  <w:r>
                    <w:rPr>
                      <w:rFonts w:hint="eastAsia"/>
                      <w:szCs w:val="21"/>
                    </w:rPr>
                    <w:t>2</w:t>
                  </w:r>
                </w:p>
              </w:tc>
              <w:tc>
                <w:tcPr>
                  <w:tcW w:w="438" w:type="pct"/>
                  <w:vAlign w:val="center"/>
                </w:tcPr>
                <w:p>
                  <w:pPr>
                    <w:widowControl/>
                    <w:jc w:val="center"/>
                    <w:rPr>
                      <w:szCs w:val="21"/>
                    </w:rPr>
                  </w:pPr>
                  <w:r>
                    <w:rPr>
                      <w:szCs w:val="21"/>
                    </w:rPr>
                    <w:t>80</w:t>
                  </w:r>
                </w:p>
              </w:tc>
              <w:tc>
                <w:tcPr>
                  <w:tcW w:w="689" w:type="pct"/>
                  <w:vMerge w:val="continue"/>
                  <w:vAlign w:val="center"/>
                </w:tcPr>
                <w:p>
                  <w:pPr>
                    <w:jc w:val="center"/>
                    <w:rPr>
                      <w:szCs w:val="21"/>
                    </w:rPr>
                  </w:pPr>
                </w:p>
              </w:tc>
              <w:tc>
                <w:tcPr>
                  <w:tcW w:w="795" w:type="pct"/>
                  <w:vAlign w:val="center"/>
                </w:tcPr>
                <w:p>
                  <w:pPr>
                    <w:widowControl/>
                    <w:jc w:val="center"/>
                    <w:rPr>
                      <w:szCs w:val="21"/>
                    </w:rPr>
                  </w:pPr>
                  <w:r>
                    <w:rPr>
                      <w:szCs w:val="21"/>
                    </w:rPr>
                    <w:t>55</w:t>
                  </w:r>
                </w:p>
              </w:tc>
              <w:tc>
                <w:tcPr>
                  <w:tcW w:w="897" w:type="pct"/>
                  <w:vAlign w:val="center"/>
                </w:tcPr>
                <w:p>
                  <w:pPr>
                    <w:widowControl/>
                    <w:jc w:val="center"/>
                    <w:rPr>
                      <w:szCs w:val="21"/>
                    </w:rPr>
                  </w:pPr>
                  <w:r>
                    <w:rPr>
                      <w:szCs w:val="21"/>
                    </w:rPr>
                    <w:t>室内、间歇性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 w:type="pct"/>
                  <w:vAlign w:val="center"/>
                </w:tcPr>
                <w:p>
                  <w:pPr>
                    <w:widowControl/>
                    <w:jc w:val="center"/>
                    <w:rPr>
                      <w:szCs w:val="21"/>
                    </w:rPr>
                  </w:pPr>
                  <w:r>
                    <w:rPr>
                      <w:szCs w:val="21"/>
                    </w:rPr>
                    <w:t>9</w:t>
                  </w:r>
                </w:p>
              </w:tc>
              <w:tc>
                <w:tcPr>
                  <w:tcW w:w="1245" w:type="pct"/>
                  <w:vAlign w:val="center"/>
                </w:tcPr>
                <w:p>
                  <w:pPr>
                    <w:widowControl/>
                    <w:jc w:val="center"/>
                    <w:rPr>
                      <w:szCs w:val="21"/>
                    </w:rPr>
                  </w:pPr>
                  <w:r>
                    <w:rPr>
                      <w:szCs w:val="21"/>
                    </w:rPr>
                    <w:t>输送机</w:t>
                  </w:r>
                </w:p>
              </w:tc>
              <w:tc>
                <w:tcPr>
                  <w:tcW w:w="642" w:type="pct"/>
                  <w:vAlign w:val="center"/>
                </w:tcPr>
                <w:p>
                  <w:pPr>
                    <w:widowControl/>
                    <w:jc w:val="center"/>
                    <w:rPr>
                      <w:szCs w:val="21"/>
                    </w:rPr>
                  </w:pPr>
                  <w:r>
                    <w:rPr>
                      <w:rFonts w:hint="eastAsia"/>
                      <w:szCs w:val="21"/>
                    </w:rPr>
                    <w:t>6</w:t>
                  </w:r>
                </w:p>
              </w:tc>
              <w:tc>
                <w:tcPr>
                  <w:tcW w:w="438" w:type="pct"/>
                  <w:vAlign w:val="center"/>
                </w:tcPr>
                <w:p>
                  <w:pPr>
                    <w:widowControl/>
                    <w:jc w:val="center"/>
                    <w:rPr>
                      <w:szCs w:val="21"/>
                    </w:rPr>
                  </w:pPr>
                  <w:r>
                    <w:rPr>
                      <w:szCs w:val="21"/>
                    </w:rPr>
                    <w:t>75</w:t>
                  </w:r>
                </w:p>
              </w:tc>
              <w:tc>
                <w:tcPr>
                  <w:tcW w:w="689" w:type="pct"/>
                  <w:vMerge w:val="continue"/>
                  <w:vAlign w:val="center"/>
                </w:tcPr>
                <w:p>
                  <w:pPr>
                    <w:widowControl/>
                    <w:jc w:val="center"/>
                    <w:rPr>
                      <w:szCs w:val="21"/>
                    </w:rPr>
                  </w:pPr>
                </w:p>
              </w:tc>
              <w:tc>
                <w:tcPr>
                  <w:tcW w:w="795" w:type="pct"/>
                  <w:vAlign w:val="center"/>
                </w:tcPr>
                <w:p>
                  <w:pPr>
                    <w:widowControl/>
                    <w:jc w:val="center"/>
                    <w:rPr>
                      <w:szCs w:val="21"/>
                    </w:rPr>
                  </w:pPr>
                  <w:r>
                    <w:rPr>
                      <w:szCs w:val="21"/>
                    </w:rPr>
                    <w:t>50</w:t>
                  </w:r>
                </w:p>
              </w:tc>
              <w:tc>
                <w:tcPr>
                  <w:tcW w:w="897" w:type="pct"/>
                  <w:vAlign w:val="center"/>
                </w:tcPr>
                <w:p>
                  <w:pPr>
                    <w:widowControl/>
                    <w:jc w:val="center"/>
                    <w:rPr>
                      <w:szCs w:val="21"/>
                    </w:rPr>
                  </w:pPr>
                  <w:r>
                    <w:rPr>
                      <w:szCs w:val="21"/>
                    </w:rPr>
                    <w:t>室内、间歇性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 w:type="pct"/>
                  <w:vAlign w:val="center"/>
                </w:tcPr>
                <w:p>
                  <w:pPr>
                    <w:widowControl/>
                    <w:jc w:val="center"/>
                    <w:rPr>
                      <w:szCs w:val="21"/>
                    </w:rPr>
                  </w:pPr>
                  <w:r>
                    <w:rPr>
                      <w:rFonts w:hint="eastAsia"/>
                      <w:szCs w:val="21"/>
                    </w:rPr>
                    <w:t>1</w:t>
                  </w:r>
                  <w:r>
                    <w:rPr>
                      <w:szCs w:val="21"/>
                    </w:rPr>
                    <w:t>0</w:t>
                  </w:r>
                </w:p>
              </w:tc>
              <w:tc>
                <w:tcPr>
                  <w:tcW w:w="1245" w:type="pct"/>
                  <w:vAlign w:val="center"/>
                </w:tcPr>
                <w:p>
                  <w:pPr>
                    <w:widowControl/>
                    <w:jc w:val="center"/>
                    <w:rPr>
                      <w:szCs w:val="21"/>
                    </w:rPr>
                  </w:pPr>
                  <w:r>
                    <w:rPr>
                      <w:szCs w:val="21"/>
                    </w:rPr>
                    <w:t>输送机</w:t>
                  </w:r>
                </w:p>
              </w:tc>
              <w:tc>
                <w:tcPr>
                  <w:tcW w:w="642" w:type="pct"/>
                  <w:vAlign w:val="center"/>
                </w:tcPr>
                <w:p>
                  <w:pPr>
                    <w:widowControl/>
                    <w:jc w:val="center"/>
                    <w:rPr>
                      <w:szCs w:val="21"/>
                    </w:rPr>
                  </w:pPr>
                  <w:r>
                    <w:rPr>
                      <w:rFonts w:hint="eastAsia"/>
                      <w:szCs w:val="21"/>
                    </w:rPr>
                    <w:t>6</w:t>
                  </w:r>
                </w:p>
              </w:tc>
              <w:tc>
                <w:tcPr>
                  <w:tcW w:w="438" w:type="pct"/>
                  <w:vAlign w:val="center"/>
                </w:tcPr>
                <w:p>
                  <w:pPr>
                    <w:widowControl/>
                    <w:jc w:val="center"/>
                    <w:rPr>
                      <w:szCs w:val="21"/>
                    </w:rPr>
                  </w:pPr>
                  <w:r>
                    <w:rPr>
                      <w:rFonts w:hint="eastAsia"/>
                      <w:szCs w:val="21"/>
                    </w:rPr>
                    <w:t>7</w:t>
                  </w:r>
                  <w:r>
                    <w:rPr>
                      <w:szCs w:val="21"/>
                    </w:rPr>
                    <w:t>5</w:t>
                  </w:r>
                </w:p>
              </w:tc>
              <w:tc>
                <w:tcPr>
                  <w:tcW w:w="689" w:type="pct"/>
                  <w:vMerge w:val="continue"/>
                  <w:vAlign w:val="center"/>
                </w:tcPr>
                <w:p>
                  <w:pPr>
                    <w:widowControl/>
                    <w:jc w:val="center"/>
                    <w:rPr>
                      <w:szCs w:val="21"/>
                    </w:rPr>
                  </w:pPr>
                </w:p>
              </w:tc>
              <w:tc>
                <w:tcPr>
                  <w:tcW w:w="795" w:type="pct"/>
                  <w:vAlign w:val="center"/>
                </w:tcPr>
                <w:p>
                  <w:pPr>
                    <w:widowControl/>
                    <w:jc w:val="center"/>
                    <w:rPr>
                      <w:szCs w:val="21"/>
                    </w:rPr>
                  </w:pPr>
                  <w:r>
                    <w:rPr>
                      <w:rFonts w:hint="eastAsia"/>
                      <w:szCs w:val="21"/>
                    </w:rPr>
                    <w:t>5</w:t>
                  </w:r>
                  <w:r>
                    <w:rPr>
                      <w:szCs w:val="21"/>
                    </w:rPr>
                    <w:t>0</w:t>
                  </w:r>
                </w:p>
              </w:tc>
              <w:tc>
                <w:tcPr>
                  <w:tcW w:w="897" w:type="pct"/>
                  <w:vAlign w:val="center"/>
                </w:tcPr>
                <w:p>
                  <w:pPr>
                    <w:widowControl/>
                    <w:jc w:val="center"/>
                    <w:rPr>
                      <w:szCs w:val="21"/>
                    </w:rPr>
                  </w:pPr>
                  <w:r>
                    <w:rPr>
                      <w:szCs w:val="21"/>
                    </w:rPr>
                    <w:t>室内、间歇性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 w:type="pct"/>
                  <w:vAlign w:val="center"/>
                </w:tcPr>
                <w:p>
                  <w:pPr>
                    <w:widowControl/>
                    <w:jc w:val="center"/>
                    <w:rPr>
                      <w:szCs w:val="21"/>
                    </w:rPr>
                  </w:pPr>
                  <w:r>
                    <w:rPr>
                      <w:rFonts w:hint="eastAsia"/>
                      <w:szCs w:val="21"/>
                    </w:rPr>
                    <w:t>1</w:t>
                  </w:r>
                  <w:r>
                    <w:rPr>
                      <w:szCs w:val="21"/>
                    </w:rPr>
                    <w:t>1</w:t>
                  </w:r>
                </w:p>
              </w:tc>
              <w:tc>
                <w:tcPr>
                  <w:tcW w:w="1245" w:type="pct"/>
                  <w:vAlign w:val="center"/>
                </w:tcPr>
                <w:p>
                  <w:pPr>
                    <w:widowControl/>
                    <w:jc w:val="center"/>
                    <w:rPr>
                      <w:szCs w:val="21"/>
                    </w:rPr>
                  </w:pPr>
                  <w:r>
                    <w:rPr>
                      <w:szCs w:val="21"/>
                    </w:rPr>
                    <w:t>输送机</w:t>
                  </w:r>
                </w:p>
              </w:tc>
              <w:tc>
                <w:tcPr>
                  <w:tcW w:w="642" w:type="pct"/>
                  <w:vAlign w:val="center"/>
                </w:tcPr>
                <w:p>
                  <w:pPr>
                    <w:widowControl/>
                    <w:jc w:val="center"/>
                    <w:rPr>
                      <w:szCs w:val="21"/>
                    </w:rPr>
                  </w:pPr>
                  <w:r>
                    <w:rPr>
                      <w:rFonts w:hint="eastAsia"/>
                      <w:szCs w:val="21"/>
                    </w:rPr>
                    <w:t>4</w:t>
                  </w:r>
                </w:p>
              </w:tc>
              <w:tc>
                <w:tcPr>
                  <w:tcW w:w="438" w:type="pct"/>
                  <w:vAlign w:val="center"/>
                </w:tcPr>
                <w:p>
                  <w:pPr>
                    <w:widowControl/>
                    <w:jc w:val="center"/>
                    <w:rPr>
                      <w:szCs w:val="21"/>
                    </w:rPr>
                  </w:pPr>
                  <w:r>
                    <w:rPr>
                      <w:rFonts w:hint="eastAsia"/>
                      <w:szCs w:val="21"/>
                    </w:rPr>
                    <w:t>7</w:t>
                  </w:r>
                  <w:r>
                    <w:rPr>
                      <w:szCs w:val="21"/>
                    </w:rPr>
                    <w:t>5</w:t>
                  </w:r>
                </w:p>
              </w:tc>
              <w:tc>
                <w:tcPr>
                  <w:tcW w:w="689" w:type="pct"/>
                  <w:vMerge w:val="continue"/>
                  <w:vAlign w:val="center"/>
                </w:tcPr>
                <w:p>
                  <w:pPr>
                    <w:widowControl/>
                    <w:jc w:val="center"/>
                    <w:rPr>
                      <w:szCs w:val="21"/>
                    </w:rPr>
                  </w:pPr>
                </w:p>
              </w:tc>
              <w:tc>
                <w:tcPr>
                  <w:tcW w:w="795" w:type="pct"/>
                  <w:vAlign w:val="center"/>
                </w:tcPr>
                <w:p>
                  <w:pPr>
                    <w:widowControl/>
                    <w:jc w:val="center"/>
                    <w:rPr>
                      <w:szCs w:val="21"/>
                    </w:rPr>
                  </w:pPr>
                  <w:r>
                    <w:rPr>
                      <w:rFonts w:hint="eastAsia"/>
                      <w:szCs w:val="21"/>
                    </w:rPr>
                    <w:t>5</w:t>
                  </w:r>
                  <w:r>
                    <w:rPr>
                      <w:szCs w:val="21"/>
                    </w:rPr>
                    <w:t>0</w:t>
                  </w:r>
                </w:p>
              </w:tc>
              <w:tc>
                <w:tcPr>
                  <w:tcW w:w="897" w:type="pct"/>
                  <w:vAlign w:val="center"/>
                </w:tcPr>
                <w:p>
                  <w:pPr>
                    <w:widowControl/>
                    <w:jc w:val="center"/>
                    <w:rPr>
                      <w:szCs w:val="21"/>
                    </w:rPr>
                  </w:pPr>
                  <w:r>
                    <w:rPr>
                      <w:szCs w:val="21"/>
                    </w:rPr>
                    <w:t>室内、间歇性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 w:type="pct"/>
                  <w:vAlign w:val="center"/>
                </w:tcPr>
                <w:p>
                  <w:pPr>
                    <w:widowControl/>
                    <w:jc w:val="center"/>
                    <w:rPr>
                      <w:szCs w:val="21"/>
                    </w:rPr>
                  </w:pPr>
                  <w:r>
                    <w:rPr>
                      <w:rFonts w:hint="eastAsia"/>
                      <w:szCs w:val="21"/>
                    </w:rPr>
                    <w:t>1</w:t>
                  </w:r>
                  <w:r>
                    <w:rPr>
                      <w:szCs w:val="21"/>
                    </w:rPr>
                    <w:t>2</w:t>
                  </w:r>
                </w:p>
              </w:tc>
              <w:tc>
                <w:tcPr>
                  <w:tcW w:w="1245" w:type="pct"/>
                  <w:vAlign w:val="center"/>
                </w:tcPr>
                <w:p>
                  <w:pPr>
                    <w:widowControl/>
                    <w:jc w:val="center"/>
                    <w:rPr>
                      <w:szCs w:val="21"/>
                    </w:rPr>
                  </w:pPr>
                  <w:r>
                    <w:rPr>
                      <w:szCs w:val="21"/>
                    </w:rPr>
                    <w:t>洗砂机</w:t>
                  </w:r>
                </w:p>
              </w:tc>
              <w:tc>
                <w:tcPr>
                  <w:tcW w:w="642" w:type="pct"/>
                  <w:vAlign w:val="center"/>
                </w:tcPr>
                <w:p>
                  <w:pPr>
                    <w:widowControl/>
                    <w:jc w:val="center"/>
                    <w:rPr>
                      <w:szCs w:val="21"/>
                    </w:rPr>
                  </w:pPr>
                  <w:r>
                    <w:rPr>
                      <w:rFonts w:hint="eastAsia"/>
                      <w:szCs w:val="21"/>
                    </w:rPr>
                    <w:t>4</w:t>
                  </w:r>
                </w:p>
              </w:tc>
              <w:tc>
                <w:tcPr>
                  <w:tcW w:w="438" w:type="pct"/>
                  <w:vAlign w:val="center"/>
                </w:tcPr>
                <w:p>
                  <w:pPr>
                    <w:widowControl/>
                    <w:jc w:val="center"/>
                    <w:rPr>
                      <w:szCs w:val="21"/>
                    </w:rPr>
                  </w:pPr>
                  <w:r>
                    <w:rPr>
                      <w:rFonts w:hint="eastAsia"/>
                      <w:szCs w:val="21"/>
                    </w:rPr>
                    <w:t>8</w:t>
                  </w:r>
                  <w:r>
                    <w:rPr>
                      <w:szCs w:val="21"/>
                    </w:rPr>
                    <w:t>0</w:t>
                  </w:r>
                </w:p>
              </w:tc>
              <w:tc>
                <w:tcPr>
                  <w:tcW w:w="689" w:type="pct"/>
                  <w:vMerge w:val="continue"/>
                  <w:vAlign w:val="center"/>
                </w:tcPr>
                <w:p>
                  <w:pPr>
                    <w:widowControl/>
                    <w:jc w:val="center"/>
                    <w:rPr>
                      <w:szCs w:val="21"/>
                    </w:rPr>
                  </w:pPr>
                </w:p>
              </w:tc>
              <w:tc>
                <w:tcPr>
                  <w:tcW w:w="795" w:type="pct"/>
                  <w:vAlign w:val="center"/>
                </w:tcPr>
                <w:p>
                  <w:pPr>
                    <w:widowControl/>
                    <w:jc w:val="center"/>
                    <w:rPr>
                      <w:szCs w:val="21"/>
                    </w:rPr>
                  </w:pPr>
                  <w:r>
                    <w:rPr>
                      <w:rFonts w:hint="eastAsia"/>
                      <w:szCs w:val="21"/>
                    </w:rPr>
                    <w:t>5</w:t>
                  </w:r>
                  <w:r>
                    <w:rPr>
                      <w:szCs w:val="21"/>
                    </w:rPr>
                    <w:t>5</w:t>
                  </w:r>
                </w:p>
              </w:tc>
              <w:tc>
                <w:tcPr>
                  <w:tcW w:w="897" w:type="pct"/>
                  <w:vAlign w:val="center"/>
                </w:tcPr>
                <w:p>
                  <w:pPr>
                    <w:widowControl/>
                    <w:jc w:val="center"/>
                    <w:rPr>
                      <w:szCs w:val="21"/>
                    </w:rPr>
                  </w:pPr>
                  <w:r>
                    <w:rPr>
                      <w:szCs w:val="21"/>
                    </w:rPr>
                    <w:t>室内、间歇性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 w:type="pct"/>
                  <w:vAlign w:val="center"/>
                </w:tcPr>
                <w:p>
                  <w:pPr>
                    <w:widowControl/>
                    <w:jc w:val="center"/>
                    <w:rPr>
                      <w:szCs w:val="21"/>
                    </w:rPr>
                  </w:pPr>
                  <w:r>
                    <w:rPr>
                      <w:rFonts w:hint="eastAsia"/>
                      <w:szCs w:val="21"/>
                    </w:rPr>
                    <w:t>1</w:t>
                  </w:r>
                  <w:r>
                    <w:rPr>
                      <w:szCs w:val="21"/>
                    </w:rPr>
                    <w:t>3</w:t>
                  </w:r>
                </w:p>
              </w:tc>
              <w:tc>
                <w:tcPr>
                  <w:tcW w:w="1245" w:type="pct"/>
                  <w:vAlign w:val="center"/>
                </w:tcPr>
                <w:p>
                  <w:pPr>
                    <w:widowControl/>
                    <w:jc w:val="center"/>
                    <w:rPr>
                      <w:szCs w:val="21"/>
                    </w:rPr>
                  </w:pPr>
                  <w:r>
                    <w:rPr>
                      <w:rFonts w:hint="eastAsia"/>
                      <w:szCs w:val="21"/>
                    </w:rPr>
                    <w:t>布袋除尘器风机</w:t>
                  </w:r>
                </w:p>
              </w:tc>
              <w:tc>
                <w:tcPr>
                  <w:tcW w:w="642" w:type="pct"/>
                  <w:vAlign w:val="center"/>
                </w:tcPr>
                <w:p>
                  <w:pPr>
                    <w:widowControl/>
                    <w:jc w:val="center"/>
                    <w:rPr>
                      <w:szCs w:val="21"/>
                    </w:rPr>
                  </w:pPr>
                  <w:r>
                    <w:rPr>
                      <w:rFonts w:hint="eastAsia"/>
                      <w:szCs w:val="21"/>
                    </w:rPr>
                    <w:t>1</w:t>
                  </w:r>
                </w:p>
              </w:tc>
              <w:tc>
                <w:tcPr>
                  <w:tcW w:w="438" w:type="pct"/>
                  <w:vAlign w:val="center"/>
                </w:tcPr>
                <w:p>
                  <w:pPr>
                    <w:widowControl/>
                    <w:jc w:val="center"/>
                    <w:rPr>
                      <w:szCs w:val="21"/>
                    </w:rPr>
                  </w:pPr>
                  <w:r>
                    <w:rPr>
                      <w:rFonts w:hint="eastAsia"/>
                      <w:szCs w:val="21"/>
                    </w:rPr>
                    <w:t>8</w:t>
                  </w:r>
                  <w:r>
                    <w:rPr>
                      <w:szCs w:val="21"/>
                    </w:rPr>
                    <w:t>5</w:t>
                  </w:r>
                </w:p>
              </w:tc>
              <w:tc>
                <w:tcPr>
                  <w:tcW w:w="689" w:type="pct"/>
                  <w:vMerge w:val="continue"/>
                  <w:vAlign w:val="center"/>
                </w:tcPr>
                <w:p>
                  <w:pPr>
                    <w:widowControl/>
                    <w:jc w:val="center"/>
                    <w:rPr>
                      <w:szCs w:val="21"/>
                    </w:rPr>
                  </w:pPr>
                </w:p>
              </w:tc>
              <w:tc>
                <w:tcPr>
                  <w:tcW w:w="795" w:type="pct"/>
                  <w:vAlign w:val="center"/>
                </w:tcPr>
                <w:p>
                  <w:pPr>
                    <w:widowControl/>
                    <w:jc w:val="center"/>
                    <w:rPr>
                      <w:szCs w:val="21"/>
                    </w:rPr>
                  </w:pPr>
                  <w:r>
                    <w:rPr>
                      <w:rFonts w:hint="eastAsia"/>
                      <w:szCs w:val="21"/>
                    </w:rPr>
                    <w:t>6</w:t>
                  </w:r>
                  <w:r>
                    <w:rPr>
                      <w:szCs w:val="21"/>
                    </w:rPr>
                    <w:t>0</w:t>
                  </w:r>
                </w:p>
              </w:tc>
              <w:tc>
                <w:tcPr>
                  <w:tcW w:w="897" w:type="pct"/>
                  <w:vAlign w:val="center"/>
                </w:tcPr>
                <w:p>
                  <w:pPr>
                    <w:widowControl/>
                    <w:jc w:val="center"/>
                    <w:rPr>
                      <w:szCs w:val="21"/>
                    </w:rPr>
                  </w:pPr>
                  <w:r>
                    <w:rPr>
                      <w:szCs w:val="21"/>
                    </w:rPr>
                    <w:t>室内、间歇性</w:t>
                  </w:r>
                </w:p>
              </w:tc>
            </w:tr>
          </w:tbl>
          <w:p>
            <w:pPr>
              <w:spacing w:line="360" w:lineRule="auto"/>
              <w:ind w:firstLine="480" w:firstLineChars="200"/>
              <w:rPr>
                <w:sz w:val="24"/>
                <w:highlight w:val="cyan"/>
              </w:rPr>
            </w:pPr>
          </w:p>
          <w:p>
            <w:pPr>
              <w:widowControl/>
              <w:spacing w:line="360" w:lineRule="auto"/>
              <w:ind w:firstLine="480" w:firstLineChars="200"/>
              <w:jc w:val="left"/>
              <w:rPr>
                <w:kern w:val="0"/>
                <w:sz w:val="24"/>
              </w:rPr>
            </w:pPr>
            <w:r>
              <w:rPr>
                <w:kern w:val="0"/>
                <w:sz w:val="24"/>
              </w:rPr>
              <w:t>为降低</w:t>
            </w:r>
            <w:r>
              <w:rPr>
                <w:rFonts w:hint="eastAsia"/>
                <w:kern w:val="0"/>
                <w:sz w:val="24"/>
              </w:rPr>
              <w:t>项目</w:t>
            </w:r>
            <w:r>
              <w:rPr>
                <w:kern w:val="0"/>
                <w:sz w:val="24"/>
              </w:rPr>
              <w:t>厂界噪声对周围声环境影响，拟采取如下噪声防治措施：</w:t>
            </w:r>
            <w:r>
              <w:rPr>
                <w:rFonts w:hint="eastAsia" w:ascii="宋体" w:hAnsi="宋体" w:cs="宋体"/>
                <w:kern w:val="0"/>
                <w:sz w:val="24"/>
              </w:rPr>
              <w:t>①</w:t>
            </w:r>
            <w:r>
              <w:rPr>
                <w:kern w:val="0"/>
                <w:sz w:val="24"/>
              </w:rPr>
              <w:t>项目应尽可能选用技术性能优良、低噪音生产设备及环保设施，以从声源上降低设备本身噪声；</w:t>
            </w:r>
            <w:r>
              <w:rPr>
                <w:rFonts w:hint="eastAsia" w:ascii="宋体" w:hAnsi="宋体" w:cs="宋体"/>
                <w:kern w:val="0"/>
                <w:sz w:val="24"/>
              </w:rPr>
              <w:t>②</w:t>
            </w:r>
            <w:r>
              <w:rPr>
                <w:kern w:val="0"/>
                <w:sz w:val="24"/>
              </w:rPr>
              <w:t>合理布置设备，将高噪音设备在封闭式车间内布置，通过隔声、距离衰减来降低噪声声级；</w:t>
            </w:r>
            <w:r>
              <w:rPr>
                <w:rFonts w:hint="eastAsia" w:ascii="宋体" w:hAnsi="宋体" w:cs="宋体"/>
                <w:kern w:val="0"/>
                <w:sz w:val="24"/>
              </w:rPr>
              <w:t>③</w:t>
            </w:r>
            <w:r>
              <w:rPr>
                <w:kern w:val="0"/>
                <w:sz w:val="24"/>
              </w:rPr>
              <w:t>设备安装前，做好设备的基础减振，安装后加强设备的维护，确保设备处于良好的运转状态，杜绝因设备不正常运转时产生的高噪声现象。采取以上措施后噪声削减约为30dB(A)。</w:t>
            </w:r>
          </w:p>
          <w:p>
            <w:pPr>
              <w:widowControl/>
              <w:spacing w:line="360" w:lineRule="auto"/>
              <w:ind w:firstLine="480" w:firstLineChars="200"/>
              <w:jc w:val="left"/>
              <w:rPr>
                <w:rFonts w:ascii="宋体" w:hAnsi="宋体" w:cs="宋体"/>
                <w:kern w:val="0"/>
                <w:sz w:val="24"/>
              </w:rPr>
            </w:pPr>
            <w:r>
              <w:rPr>
                <w:rFonts w:ascii="宋体" w:hAnsi="宋体" w:cs="宋体"/>
                <w:kern w:val="0"/>
                <w:sz w:val="24"/>
              </w:rPr>
              <w:t>（</w:t>
            </w:r>
            <w:r>
              <w:rPr>
                <w:kern w:val="0"/>
                <w:sz w:val="24"/>
              </w:rPr>
              <w:t>1</w:t>
            </w:r>
            <w:r>
              <w:rPr>
                <w:rFonts w:ascii="宋体" w:hAnsi="宋体" w:cs="宋体"/>
                <w:kern w:val="0"/>
                <w:sz w:val="24"/>
              </w:rPr>
              <w:t>）预测模式</w:t>
            </w:r>
          </w:p>
          <w:p>
            <w:pPr>
              <w:widowControl/>
              <w:spacing w:line="360" w:lineRule="auto"/>
              <w:ind w:left="420" w:leftChars="200" w:firstLine="120" w:firstLineChars="50"/>
              <w:jc w:val="left"/>
              <w:rPr>
                <w:rFonts w:ascii="宋体" w:hAnsi="宋体" w:cs="宋体"/>
                <w:kern w:val="0"/>
                <w:sz w:val="24"/>
              </w:rPr>
            </w:pPr>
            <w:r>
              <w:rPr>
                <w:rFonts w:ascii="宋体" w:hAnsi="宋体" w:cs="宋体"/>
                <w:kern w:val="0"/>
                <w:sz w:val="24"/>
              </w:rPr>
              <w:t xml:space="preserve">按照《环境影响评价技术导则声环境》 </w:t>
            </w:r>
            <w:r>
              <w:rPr>
                <w:kern w:val="0"/>
                <w:sz w:val="24"/>
              </w:rPr>
              <w:t xml:space="preserve">(HJ2.4-2009) </w:t>
            </w:r>
            <w:r>
              <w:rPr>
                <w:rFonts w:ascii="宋体" w:hAnsi="宋体" w:cs="宋体"/>
                <w:kern w:val="0"/>
                <w:sz w:val="24"/>
              </w:rPr>
              <w:t>中推荐模式预测。</w:t>
            </w:r>
          </w:p>
          <w:p>
            <w:pPr>
              <w:widowControl/>
              <w:spacing w:line="360" w:lineRule="auto"/>
              <w:ind w:firstLine="600" w:firstLineChars="250"/>
              <w:jc w:val="left"/>
              <w:rPr>
                <w:rFonts w:ascii="宋体" w:hAnsi="宋体" w:cs="宋体"/>
                <w:kern w:val="0"/>
                <w:sz w:val="24"/>
              </w:rPr>
            </w:pPr>
            <w:r>
              <w:rPr>
                <w:rFonts w:ascii="宋体" w:hAnsi="宋体" w:cs="宋体"/>
                <w:kern w:val="0"/>
                <w:sz w:val="24"/>
              </w:rPr>
              <w:t>①条件概化</w:t>
            </w:r>
            <w:r>
              <w:rPr>
                <w:rFonts w:hint="eastAsia" w:ascii="宋体" w:hAnsi="宋体" w:cs="宋体"/>
                <w:kern w:val="0"/>
                <w:sz w:val="24"/>
              </w:rPr>
              <w:t>：</w:t>
            </w:r>
          </w:p>
          <w:p>
            <w:pPr>
              <w:widowControl/>
              <w:spacing w:line="360" w:lineRule="auto"/>
              <w:ind w:firstLine="600" w:firstLineChars="250"/>
              <w:jc w:val="left"/>
              <w:rPr>
                <w:rFonts w:ascii="宋体" w:hAnsi="宋体" w:cs="宋体"/>
                <w:kern w:val="0"/>
                <w:sz w:val="24"/>
              </w:rPr>
            </w:pPr>
            <w:r>
              <w:rPr>
                <w:kern w:val="0"/>
                <w:sz w:val="24"/>
              </w:rPr>
              <w:t>A</w:t>
            </w:r>
            <w:r>
              <w:rPr>
                <w:rFonts w:ascii="宋体" w:hAnsi="宋体" w:cs="宋体"/>
                <w:kern w:val="0"/>
                <w:sz w:val="24"/>
              </w:rPr>
              <w:t>所有产生噪音设备均在正常工况条件下运行；</w:t>
            </w:r>
          </w:p>
          <w:p>
            <w:pPr>
              <w:widowControl/>
              <w:spacing w:line="360" w:lineRule="auto"/>
              <w:ind w:firstLine="600" w:firstLineChars="250"/>
              <w:jc w:val="left"/>
              <w:rPr>
                <w:kern w:val="0"/>
                <w:sz w:val="24"/>
              </w:rPr>
            </w:pPr>
            <w:r>
              <w:rPr>
                <w:rFonts w:hint="eastAsia"/>
                <w:kern w:val="0"/>
                <w:sz w:val="24"/>
              </w:rPr>
              <w:t>B</w:t>
            </w:r>
            <w:r>
              <w:rPr>
                <w:rFonts w:ascii="宋体" w:hAnsi="宋体" w:cs="宋体"/>
                <w:kern w:val="0"/>
                <w:sz w:val="24"/>
              </w:rPr>
              <w:t>室内噪声源考虑声源所在厂房</w:t>
            </w:r>
            <w:r>
              <w:rPr>
                <w:rFonts w:hint="eastAsia" w:ascii="宋体" w:hAnsi="宋体" w:cs="宋体"/>
                <w:kern w:val="0"/>
                <w:sz w:val="24"/>
              </w:rPr>
              <w:t>围</w:t>
            </w:r>
            <w:r>
              <w:rPr>
                <w:rFonts w:ascii="宋体" w:hAnsi="宋体" w:cs="宋体"/>
                <w:kern w:val="0"/>
                <w:sz w:val="24"/>
              </w:rPr>
              <w:t>护结构的隔声作用；</w:t>
            </w:r>
          </w:p>
          <w:p>
            <w:pPr>
              <w:widowControl/>
              <w:spacing w:line="360" w:lineRule="auto"/>
              <w:ind w:firstLine="600" w:firstLineChars="250"/>
              <w:jc w:val="left"/>
              <w:rPr>
                <w:rFonts w:ascii="宋体" w:hAnsi="宋体" w:cs="宋体"/>
                <w:kern w:val="0"/>
                <w:sz w:val="24"/>
              </w:rPr>
            </w:pPr>
            <w:r>
              <w:rPr>
                <w:rFonts w:hint="eastAsia"/>
                <w:kern w:val="0"/>
                <w:sz w:val="24"/>
              </w:rPr>
              <w:t>C</w:t>
            </w:r>
            <w:r>
              <w:rPr>
                <w:kern w:val="0"/>
                <w:sz w:val="24"/>
              </w:rPr>
              <w:t>为便于预测计算，将各车</w:t>
            </w:r>
            <w:r>
              <w:rPr>
                <w:rFonts w:ascii="宋体" w:hAnsi="宋体" w:cs="宋体"/>
                <w:kern w:val="0"/>
                <w:sz w:val="24"/>
              </w:rPr>
              <w:t>间噪声源概化叠加作为源强；</w:t>
            </w:r>
          </w:p>
          <w:p>
            <w:pPr>
              <w:widowControl/>
              <w:spacing w:line="360" w:lineRule="auto"/>
              <w:ind w:firstLine="600" w:firstLineChars="250"/>
              <w:jc w:val="left"/>
              <w:rPr>
                <w:kern w:val="0"/>
                <w:sz w:val="24"/>
                <w:szCs w:val="20"/>
              </w:rPr>
            </w:pPr>
            <w:r>
              <w:rPr>
                <w:rFonts w:hint="eastAsia"/>
                <w:kern w:val="0"/>
                <w:sz w:val="24"/>
              </w:rPr>
              <w:t>D</w:t>
            </w:r>
            <w:r>
              <w:rPr>
                <w:rFonts w:ascii="宋体" w:hAnsi="宋体" w:cs="宋体"/>
                <w:kern w:val="0"/>
                <w:sz w:val="24"/>
              </w:rPr>
              <w:t>考虑声源至预测点的距离衰减，忽略传播中建筑物的阻挡、地面反射及空气吸收、雨雪、温度等影响。</w:t>
            </w:r>
          </w:p>
          <w:p>
            <w:pPr>
              <w:widowControl/>
              <w:spacing w:line="360" w:lineRule="auto"/>
              <w:ind w:firstLine="480" w:firstLineChars="200"/>
              <w:jc w:val="left"/>
              <w:rPr>
                <w:kern w:val="0"/>
                <w:sz w:val="24"/>
                <w:szCs w:val="20"/>
              </w:rPr>
            </w:pPr>
            <w:r>
              <w:rPr>
                <w:kern w:val="0"/>
                <w:sz w:val="24"/>
                <w:szCs w:val="20"/>
              </w:rPr>
              <w:fldChar w:fldCharType="begin"/>
            </w:r>
            <w:r>
              <w:rPr>
                <w:kern w:val="0"/>
                <w:sz w:val="24"/>
                <w:szCs w:val="20"/>
              </w:rPr>
              <w:instrText xml:space="preserve"> = 2 \* GB3 </w:instrText>
            </w:r>
            <w:r>
              <w:rPr>
                <w:kern w:val="0"/>
                <w:sz w:val="24"/>
                <w:szCs w:val="20"/>
              </w:rPr>
              <w:fldChar w:fldCharType="separate"/>
            </w:r>
            <w:r>
              <w:rPr>
                <w:rFonts w:hint="eastAsia" w:ascii="宋体"/>
                <w:kern w:val="0"/>
                <w:sz w:val="24"/>
                <w:szCs w:val="20"/>
              </w:rPr>
              <w:t>②</w:t>
            </w:r>
            <w:r>
              <w:rPr>
                <w:kern w:val="0"/>
                <w:sz w:val="24"/>
                <w:szCs w:val="20"/>
              </w:rPr>
              <w:fldChar w:fldCharType="end"/>
            </w:r>
            <w:r>
              <w:rPr>
                <w:kern w:val="0"/>
                <w:sz w:val="24"/>
                <w:szCs w:val="20"/>
              </w:rPr>
              <w:t xml:space="preserve"> 采用衰减公式，公式为：</w:t>
            </w:r>
          </w:p>
          <w:p>
            <w:pPr>
              <w:widowControl/>
              <w:spacing w:line="360" w:lineRule="auto"/>
              <w:ind w:firstLine="480" w:firstLineChars="200"/>
              <w:jc w:val="center"/>
              <w:rPr>
                <w:kern w:val="0"/>
                <w:sz w:val="24"/>
                <w:szCs w:val="20"/>
              </w:rPr>
            </w:pPr>
            <w:r>
              <w:rPr>
                <w:kern w:val="0"/>
                <w:position w:val="-12"/>
                <w:sz w:val="24"/>
                <w:szCs w:val="20"/>
              </w:rPr>
              <w:drawing>
                <wp:inline distT="0" distB="0" distL="0" distR="0">
                  <wp:extent cx="1743075" cy="323850"/>
                  <wp:effectExtent l="19050" t="0" r="9525" b="0"/>
                  <wp:docPr id="2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3"/>
                          <pic:cNvPicPr>
                            <a:picLocks noChangeAspect="1" noChangeArrowheads="1"/>
                          </pic:cNvPicPr>
                        </pic:nvPicPr>
                        <pic:blipFill>
                          <a:blip r:embed="rId10" cstate="print"/>
                          <a:srcRect/>
                          <a:stretch>
                            <a:fillRect/>
                          </a:stretch>
                        </pic:blipFill>
                        <pic:spPr>
                          <a:xfrm>
                            <a:off x="0" y="0"/>
                            <a:ext cx="1743075" cy="323850"/>
                          </a:xfrm>
                          <a:prstGeom prst="rect">
                            <a:avLst/>
                          </a:prstGeom>
                          <a:noFill/>
                          <a:ln w="9525">
                            <a:noFill/>
                            <a:miter lim="800000"/>
                            <a:headEnd/>
                            <a:tailEnd/>
                          </a:ln>
                        </pic:spPr>
                      </pic:pic>
                    </a:graphicData>
                  </a:graphic>
                </wp:inline>
              </w:drawing>
            </w:r>
          </w:p>
          <w:p>
            <w:pPr>
              <w:widowControl/>
              <w:spacing w:line="360" w:lineRule="auto"/>
              <w:ind w:firstLine="600" w:firstLineChars="250"/>
              <w:jc w:val="left"/>
              <w:rPr>
                <w:kern w:val="0"/>
                <w:sz w:val="24"/>
                <w:szCs w:val="20"/>
              </w:rPr>
            </w:pPr>
            <w:r>
              <w:rPr>
                <w:kern w:val="0"/>
                <w:sz w:val="24"/>
                <w:szCs w:val="20"/>
              </w:rPr>
              <w:t>式中：L（r）——距离噪声源r m处的声压级，dB（A）；</w:t>
            </w:r>
          </w:p>
          <w:p>
            <w:pPr>
              <w:widowControl/>
              <w:spacing w:line="360" w:lineRule="auto"/>
              <w:ind w:firstLine="480" w:firstLineChars="200"/>
              <w:jc w:val="left"/>
              <w:rPr>
                <w:kern w:val="0"/>
                <w:sz w:val="24"/>
                <w:szCs w:val="20"/>
                <w:vertAlign w:val="subscript"/>
              </w:rPr>
            </w:pPr>
            <w:r>
              <w:rPr>
                <w:kern w:val="0"/>
                <w:sz w:val="24"/>
                <w:szCs w:val="20"/>
              </w:rPr>
              <w:t xml:space="preserve">       L（r</w:t>
            </w:r>
            <w:r>
              <w:rPr>
                <w:kern w:val="0"/>
                <w:sz w:val="24"/>
                <w:szCs w:val="20"/>
                <w:vertAlign w:val="subscript"/>
              </w:rPr>
              <w:t>0</w:t>
            </w:r>
            <w:r>
              <w:rPr>
                <w:kern w:val="0"/>
                <w:sz w:val="24"/>
                <w:szCs w:val="20"/>
              </w:rPr>
              <w:t>）——声源的声压级，dB（A）；</w:t>
            </w:r>
          </w:p>
          <w:p>
            <w:pPr>
              <w:widowControl/>
              <w:spacing w:line="360" w:lineRule="auto"/>
              <w:ind w:firstLine="480" w:firstLineChars="200"/>
              <w:jc w:val="left"/>
              <w:rPr>
                <w:kern w:val="0"/>
                <w:sz w:val="24"/>
                <w:szCs w:val="20"/>
              </w:rPr>
            </w:pPr>
            <w:r>
              <w:rPr>
                <w:kern w:val="0"/>
                <w:sz w:val="24"/>
                <w:szCs w:val="20"/>
              </w:rPr>
              <w:t xml:space="preserve">       r——预测点距离噪声源的距离，m；</w:t>
            </w:r>
          </w:p>
          <w:p>
            <w:pPr>
              <w:widowControl/>
              <w:spacing w:line="360" w:lineRule="auto"/>
              <w:ind w:firstLine="480" w:firstLineChars="200"/>
              <w:jc w:val="left"/>
              <w:rPr>
                <w:kern w:val="0"/>
                <w:sz w:val="24"/>
                <w:szCs w:val="20"/>
              </w:rPr>
            </w:pPr>
            <w:r>
              <w:rPr>
                <w:kern w:val="0"/>
                <w:sz w:val="24"/>
                <w:szCs w:val="20"/>
              </w:rPr>
              <w:t xml:space="preserve">       r</w:t>
            </w:r>
            <w:r>
              <w:rPr>
                <w:kern w:val="0"/>
                <w:sz w:val="24"/>
                <w:szCs w:val="20"/>
                <w:vertAlign w:val="subscript"/>
              </w:rPr>
              <w:t>0</w:t>
            </w:r>
            <w:r>
              <w:rPr>
                <w:kern w:val="0"/>
                <w:sz w:val="24"/>
                <w:szCs w:val="20"/>
              </w:rPr>
              <w:t>——参考位置距离噪声源的距离，m。</w:t>
            </w:r>
          </w:p>
          <w:p>
            <w:pPr>
              <w:widowControl/>
              <w:spacing w:line="360" w:lineRule="auto"/>
              <w:ind w:firstLine="480" w:firstLineChars="200"/>
              <w:jc w:val="left"/>
              <w:rPr>
                <w:kern w:val="0"/>
                <w:sz w:val="24"/>
                <w:szCs w:val="20"/>
              </w:rPr>
            </w:pPr>
            <w:r>
              <w:rPr>
                <w:kern w:val="0"/>
                <w:sz w:val="24"/>
                <w:szCs w:val="20"/>
              </w:rPr>
              <w:fldChar w:fldCharType="begin"/>
            </w:r>
            <w:r>
              <w:rPr>
                <w:kern w:val="0"/>
                <w:sz w:val="24"/>
                <w:szCs w:val="20"/>
              </w:rPr>
              <w:instrText xml:space="preserve"> = 3 \* GB3 </w:instrText>
            </w:r>
            <w:r>
              <w:rPr>
                <w:kern w:val="0"/>
                <w:sz w:val="24"/>
                <w:szCs w:val="20"/>
              </w:rPr>
              <w:fldChar w:fldCharType="separate"/>
            </w:r>
            <w:r>
              <w:rPr>
                <w:rFonts w:hint="eastAsia" w:ascii="宋体"/>
                <w:kern w:val="0"/>
                <w:sz w:val="24"/>
                <w:szCs w:val="20"/>
              </w:rPr>
              <w:t>③</w:t>
            </w:r>
            <w:r>
              <w:rPr>
                <w:kern w:val="0"/>
                <w:sz w:val="24"/>
                <w:szCs w:val="20"/>
              </w:rPr>
              <w:fldChar w:fldCharType="end"/>
            </w:r>
            <w:r>
              <w:rPr>
                <w:kern w:val="0"/>
                <w:sz w:val="24"/>
                <w:szCs w:val="20"/>
              </w:rPr>
              <w:t xml:space="preserve"> 合成声压级  采用合成公式如下：</w:t>
            </w:r>
          </w:p>
          <w:p>
            <w:pPr>
              <w:widowControl/>
              <w:spacing w:line="360" w:lineRule="auto"/>
              <w:ind w:firstLine="480" w:firstLineChars="200"/>
              <w:jc w:val="center"/>
              <w:rPr>
                <w:kern w:val="0"/>
                <w:sz w:val="24"/>
                <w:szCs w:val="20"/>
              </w:rPr>
            </w:pPr>
            <w:r>
              <w:rPr>
                <w:kern w:val="0"/>
                <w:position w:val="-28"/>
                <w:sz w:val="24"/>
                <w:szCs w:val="20"/>
              </w:rPr>
              <w:drawing>
                <wp:inline distT="0" distB="0" distL="0" distR="0">
                  <wp:extent cx="1704975" cy="457200"/>
                  <wp:effectExtent l="19050" t="0" r="9525" b="0"/>
                  <wp:docPr id="29"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7"/>
                          <pic:cNvPicPr>
                            <a:picLocks noChangeAspect="1" noChangeArrowheads="1"/>
                          </pic:cNvPicPr>
                        </pic:nvPicPr>
                        <pic:blipFill>
                          <a:blip r:embed="rId11" cstate="print"/>
                          <a:srcRect/>
                          <a:stretch>
                            <a:fillRect/>
                          </a:stretch>
                        </pic:blipFill>
                        <pic:spPr>
                          <a:xfrm>
                            <a:off x="0" y="0"/>
                            <a:ext cx="1704975" cy="457200"/>
                          </a:xfrm>
                          <a:prstGeom prst="rect">
                            <a:avLst/>
                          </a:prstGeom>
                          <a:noFill/>
                          <a:ln w="9525">
                            <a:noFill/>
                            <a:miter lim="800000"/>
                            <a:headEnd/>
                            <a:tailEnd/>
                          </a:ln>
                        </pic:spPr>
                      </pic:pic>
                    </a:graphicData>
                  </a:graphic>
                </wp:inline>
              </w:drawing>
            </w:r>
          </w:p>
          <w:p>
            <w:pPr>
              <w:widowControl/>
              <w:spacing w:line="360" w:lineRule="auto"/>
              <w:ind w:firstLine="600" w:firstLineChars="250"/>
              <w:jc w:val="left"/>
              <w:rPr>
                <w:kern w:val="0"/>
                <w:sz w:val="24"/>
                <w:szCs w:val="20"/>
              </w:rPr>
            </w:pPr>
            <w:r>
              <w:rPr>
                <w:kern w:val="0"/>
                <w:sz w:val="24"/>
                <w:szCs w:val="20"/>
              </w:rPr>
              <w:t>式中：L</w:t>
            </w:r>
            <w:r>
              <w:rPr>
                <w:kern w:val="0"/>
                <w:sz w:val="24"/>
                <w:szCs w:val="20"/>
                <w:vertAlign w:val="subscript"/>
              </w:rPr>
              <w:t>pn</w:t>
            </w:r>
            <w:r>
              <w:rPr>
                <w:kern w:val="0"/>
                <w:sz w:val="24"/>
                <w:szCs w:val="20"/>
              </w:rPr>
              <w:t>——n个噪声源在预测点产生的声压级，dB（A）；</w:t>
            </w:r>
          </w:p>
          <w:p>
            <w:pPr>
              <w:widowControl/>
              <w:spacing w:line="360" w:lineRule="auto"/>
              <w:ind w:firstLine="480" w:firstLineChars="200"/>
              <w:jc w:val="left"/>
              <w:rPr>
                <w:kern w:val="0"/>
                <w:sz w:val="24"/>
                <w:szCs w:val="20"/>
              </w:rPr>
            </w:pPr>
            <w:r>
              <w:rPr>
                <w:kern w:val="0"/>
                <w:sz w:val="24"/>
                <w:szCs w:val="20"/>
              </w:rPr>
              <w:t xml:space="preserve">       L</w:t>
            </w:r>
            <w:r>
              <w:rPr>
                <w:kern w:val="0"/>
                <w:sz w:val="24"/>
                <w:szCs w:val="20"/>
                <w:vertAlign w:val="subscript"/>
              </w:rPr>
              <w:t>pni</w:t>
            </w:r>
            <w:r>
              <w:rPr>
                <w:kern w:val="0"/>
                <w:sz w:val="24"/>
                <w:szCs w:val="20"/>
              </w:rPr>
              <w:t>——第n个噪声源在预测点产生的声压级，dB（A）。</w:t>
            </w:r>
          </w:p>
          <w:p>
            <w:pPr>
              <w:widowControl/>
              <w:spacing w:line="360" w:lineRule="auto"/>
              <w:ind w:firstLine="480" w:firstLineChars="200"/>
              <w:jc w:val="left"/>
              <w:rPr>
                <w:kern w:val="0"/>
                <w:sz w:val="24"/>
              </w:rPr>
            </w:pPr>
            <w:r>
              <w:rPr>
                <w:rFonts w:hint="eastAsia"/>
                <w:kern w:val="0"/>
                <w:sz w:val="24"/>
              </w:rPr>
              <w:t>（</w:t>
            </w:r>
            <w:r>
              <w:rPr>
                <w:kern w:val="0"/>
                <w:sz w:val="24"/>
              </w:rPr>
              <w:t>2</w:t>
            </w:r>
            <w:r>
              <w:rPr>
                <w:rFonts w:hint="eastAsia"/>
                <w:kern w:val="0"/>
                <w:sz w:val="24"/>
              </w:rPr>
              <w:t>）预测参数</w:t>
            </w:r>
          </w:p>
          <w:p>
            <w:pPr>
              <w:widowControl/>
              <w:spacing w:line="360" w:lineRule="auto"/>
              <w:ind w:firstLine="720" w:firstLineChars="300"/>
              <w:jc w:val="left"/>
              <w:rPr>
                <w:kern w:val="0"/>
                <w:sz w:val="24"/>
              </w:rPr>
            </w:pPr>
            <w:r>
              <w:rPr>
                <w:rFonts w:hint="eastAsia"/>
                <w:kern w:val="0"/>
                <w:sz w:val="24"/>
              </w:rPr>
              <w:t>预测参数见表</w:t>
            </w:r>
            <w:r>
              <w:rPr>
                <w:kern w:val="0"/>
                <w:sz w:val="24"/>
              </w:rPr>
              <w:t>4-6</w:t>
            </w:r>
            <w:r>
              <w:rPr>
                <w:rFonts w:hint="eastAsia"/>
                <w:kern w:val="0"/>
                <w:sz w:val="24"/>
              </w:rPr>
              <w:t>。</w:t>
            </w:r>
          </w:p>
          <w:p>
            <w:pPr>
              <w:keepNext/>
              <w:keepLines/>
              <w:spacing w:line="360" w:lineRule="auto"/>
              <w:jc w:val="center"/>
              <w:outlineLvl w:val="2"/>
              <w:rPr>
                <w:b/>
                <w:bCs/>
                <w:szCs w:val="21"/>
              </w:rPr>
            </w:pPr>
            <w:r>
              <w:rPr>
                <w:rFonts w:hint="eastAsia"/>
                <w:b/>
                <w:bCs/>
                <w:szCs w:val="21"/>
              </w:rPr>
              <w:t>表</w:t>
            </w:r>
            <w:r>
              <w:rPr>
                <w:b/>
                <w:bCs/>
                <w:szCs w:val="21"/>
              </w:rPr>
              <w:t>4-6</w:t>
            </w:r>
            <w:r>
              <w:rPr>
                <w:rFonts w:hint="eastAsia"/>
                <w:b/>
                <w:bCs/>
                <w:szCs w:val="21"/>
              </w:rPr>
              <w:t xml:space="preserve">项目各噪声源预测参数 </w:t>
            </w:r>
            <w:r>
              <w:rPr>
                <w:b/>
                <w:bCs/>
                <w:szCs w:val="21"/>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2003"/>
              <w:gridCol w:w="1230"/>
              <w:gridCol w:w="1150"/>
              <w:gridCol w:w="1230"/>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2" w:type="pct"/>
                  <w:vMerge w:val="restart"/>
                  <w:vAlign w:val="center"/>
                </w:tcPr>
                <w:p>
                  <w:pPr>
                    <w:widowControl/>
                    <w:jc w:val="center"/>
                    <w:rPr>
                      <w:kern w:val="0"/>
                      <w:szCs w:val="21"/>
                    </w:rPr>
                  </w:pPr>
                  <w:r>
                    <w:rPr>
                      <w:kern w:val="0"/>
                      <w:szCs w:val="21"/>
                    </w:rPr>
                    <w:t>噪声</w:t>
                  </w:r>
                </w:p>
                <w:p>
                  <w:pPr>
                    <w:widowControl/>
                    <w:jc w:val="center"/>
                    <w:rPr>
                      <w:kern w:val="0"/>
                      <w:szCs w:val="21"/>
                    </w:rPr>
                  </w:pPr>
                  <w:r>
                    <w:rPr>
                      <w:kern w:val="0"/>
                      <w:szCs w:val="21"/>
                    </w:rPr>
                    <w:t>位置</w:t>
                  </w:r>
                </w:p>
              </w:tc>
              <w:tc>
                <w:tcPr>
                  <w:tcW w:w="1216" w:type="pct"/>
                  <w:vMerge w:val="restart"/>
                  <w:vAlign w:val="center"/>
                </w:tcPr>
                <w:p>
                  <w:pPr>
                    <w:widowControl/>
                    <w:jc w:val="center"/>
                    <w:rPr>
                      <w:kern w:val="0"/>
                      <w:szCs w:val="21"/>
                    </w:rPr>
                  </w:pPr>
                  <w:r>
                    <w:rPr>
                      <w:kern w:val="0"/>
                      <w:szCs w:val="21"/>
                    </w:rPr>
                    <w:t>治理后的</w:t>
                  </w:r>
                  <w:r>
                    <w:rPr>
                      <w:rFonts w:hint="eastAsia"/>
                      <w:kern w:val="0"/>
                      <w:szCs w:val="21"/>
                    </w:rPr>
                    <w:t>叠加</w:t>
                  </w:r>
                  <w:r>
                    <w:rPr>
                      <w:kern w:val="0"/>
                      <w:szCs w:val="21"/>
                    </w:rPr>
                    <w:t>噪声级dB(A)</w:t>
                  </w:r>
                </w:p>
              </w:tc>
              <w:tc>
                <w:tcPr>
                  <w:tcW w:w="2892" w:type="pct"/>
                  <w:gridSpan w:val="4"/>
                  <w:vAlign w:val="center"/>
                </w:tcPr>
                <w:p>
                  <w:pPr>
                    <w:widowControl/>
                    <w:jc w:val="center"/>
                    <w:rPr>
                      <w:kern w:val="0"/>
                      <w:szCs w:val="21"/>
                    </w:rPr>
                  </w:pPr>
                  <w:r>
                    <w:rPr>
                      <w:kern w:val="0"/>
                      <w:szCs w:val="21"/>
                    </w:rPr>
                    <w:t>噪声源强距厂界距离（m）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92" w:type="pct"/>
                  <w:vMerge w:val="continue"/>
                  <w:vAlign w:val="center"/>
                </w:tcPr>
                <w:p>
                  <w:pPr>
                    <w:widowControl/>
                    <w:jc w:val="center"/>
                    <w:rPr>
                      <w:kern w:val="0"/>
                      <w:szCs w:val="21"/>
                    </w:rPr>
                  </w:pPr>
                </w:p>
              </w:tc>
              <w:tc>
                <w:tcPr>
                  <w:tcW w:w="1216" w:type="pct"/>
                  <w:vMerge w:val="continue"/>
                  <w:vAlign w:val="center"/>
                </w:tcPr>
                <w:p>
                  <w:pPr>
                    <w:widowControl/>
                    <w:jc w:val="center"/>
                    <w:rPr>
                      <w:kern w:val="0"/>
                      <w:szCs w:val="21"/>
                    </w:rPr>
                  </w:pPr>
                </w:p>
              </w:tc>
              <w:tc>
                <w:tcPr>
                  <w:tcW w:w="747" w:type="pct"/>
                  <w:vAlign w:val="center"/>
                </w:tcPr>
                <w:p>
                  <w:pPr>
                    <w:widowControl/>
                    <w:jc w:val="center"/>
                    <w:rPr>
                      <w:kern w:val="0"/>
                      <w:szCs w:val="21"/>
                    </w:rPr>
                  </w:pPr>
                  <w:r>
                    <w:rPr>
                      <w:kern w:val="0"/>
                      <w:szCs w:val="21"/>
                    </w:rPr>
                    <w:t>东</w:t>
                  </w:r>
                </w:p>
              </w:tc>
              <w:tc>
                <w:tcPr>
                  <w:tcW w:w="698" w:type="pct"/>
                  <w:vAlign w:val="center"/>
                </w:tcPr>
                <w:p>
                  <w:pPr>
                    <w:widowControl/>
                    <w:jc w:val="center"/>
                    <w:rPr>
                      <w:kern w:val="0"/>
                      <w:szCs w:val="21"/>
                    </w:rPr>
                  </w:pPr>
                  <w:r>
                    <w:rPr>
                      <w:kern w:val="0"/>
                      <w:szCs w:val="21"/>
                    </w:rPr>
                    <w:t>南</w:t>
                  </w:r>
                </w:p>
              </w:tc>
              <w:tc>
                <w:tcPr>
                  <w:tcW w:w="747" w:type="pct"/>
                  <w:vAlign w:val="center"/>
                </w:tcPr>
                <w:p>
                  <w:pPr>
                    <w:widowControl/>
                    <w:jc w:val="center"/>
                    <w:rPr>
                      <w:kern w:val="0"/>
                      <w:szCs w:val="21"/>
                    </w:rPr>
                  </w:pPr>
                  <w:r>
                    <w:rPr>
                      <w:kern w:val="0"/>
                      <w:szCs w:val="21"/>
                    </w:rPr>
                    <w:t>西</w:t>
                  </w:r>
                </w:p>
              </w:tc>
              <w:tc>
                <w:tcPr>
                  <w:tcW w:w="700" w:type="pct"/>
                  <w:vAlign w:val="center"/>
                </w:tcPr>
                <w:p>
                  <w:pPr>
                    <w:widowControl/>
                    <w:jc w:val="center"/>
                    <w:rPr>
                      <w:kern w:val="0"/>
                      <w:szCs w:val="21"/>
                    </w:rPr>
                  </w:pPr>
                  <w:r>
                    <w:rPr>
                      <w:kern w:val="0"/>
                      <w:szCs w:val="21"/>
                    </w:rPr>
                    <w:t>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92" w:type="pct"/>
                  <w:vAlign w:val="center"/>
                </w:tcPr>
                <w:p>
                  <w:pPr>
                    <w:widowControl/>
                    <w:jc w:val="center"/>
                    <w:rPr>
                      <w:kern w:val="0"/>
                      <w:szCs w:val="21"/>
                    </w:rPr>
                  </w:pPr>
                  <w:r>
                    <w:rPr>
                      <w:kern w:val="0"/>
                      <w:szCs w:val="21"/>
                    </w:rPr>
                    <w:t>厂房内</w:t>
                  </w:r>
                </w:p>
              </w:tc>
              <w:tc>
                <w:tcPr>
                  <w:tcW w:w="1216" w:type="pct"/>
                  <w:vAlign w:val="center"/>
                </w:tcPr>
                <w:p>
                  <w:pPr>
                    <w:widowControl/>
                    <w:jc w:val="center"/>
                    <w:rPr>
                      <w:kern w:val="0"/>
                      <w:szCs w:val="21"/>
                    </w:rPr>
                  </w:pPr>
                  <w:r>
                    <w:rPr>
                      <w:kern w:val="0"/>
                      <w:szCs w:val="21"/>
                    </w:rPr>
                    <w:t>68</w:t>
                  </w:r>
                </w:p>
              </w:tc>
              <w:tc>
                <w:tcPr>
                  <w:tcW w:w="747" w:type="pct"/>
                  <w:vAlign w:val="center"/>
                </w:tcPr>
                <w:p>
                  <w:pPr>
                    <w:widowControl/>
                    <w:jc w:val="center"/>
                    <w:rPr>
                      <w:kern w:val="0"/>
                      <w:szCs w:val="21"/>
                    </w:rPr>
                  </w:pPr>
                  <w:r>
                    <w:rPr>
                      <w:kern w:val="0"/>
                      <w:szCs w:val="21"/>
                    </w:rPr>
                    <w:t>30</w:t>
                  </w:r>
                </w:p>
              </w:tc>
              <w:tc>
                <w:tcPr>
                  <w:tcW w:w="698" w:type="pct"/>
                  <w:vAlign w:val="center"/>
                </w:tcPr>
                <w:p>
                  <w:pPr>
                    <w:widowControl/>
                    <w:jc w:val="center"/>
                    <w:rPr>
                      <w:kern w:val="0"/>
                      <w:szCs w:val="21"/>
                    </w:rPr>
                  </w:pPr>
                  <w:r>
                    <w:rPr>
                      <w:kern w:val="0"/>
                      <w:szCs w:val="21"/>
                    </w:rPr>
                    <w:t>60</w:t>
                  </w:r>
                </w:p>
              </w:tc>
              <w:tc>
                <w:tcPr>
                  <w:tcW w:w="747" w:type="pct"/>
                  <w:vAlign w:val="center"/>
                </w:tcPr>
                <w:p>
                  <w:pPr>
                    <w:widowControl/>
                    <w:jc w:val="center"/>
                    <w:rPr>
                      <w:kern w:val="0"/>
                      <w:szCs w:val="21"/>
                    </w:rPr>
                  </w:pPr>
                  <w:r>
                    <w:rPr>
                      <w:kern w:val="0"/>
                      <w:szCs w:val="21"/>
                    </w:rPr>
                    <w:t>12</w:t>
                  </w:r>
                </w:p>
              </w:tc>
              <w:tc>
                <w:tcPr>
                  <w:tcW w:w="700" w:type="pct"/>
                  <w:vAlign w:val="center"/>
                </w:tcPr>
                <w:p>
                  <w:pPr>
                    <w:widowControl/>
                    <w:jc w:val="center"/>
                    <w:rPr>
                      <w:kern w:val="0"/>
                      <w:szCs w:val="21"/>
                    </w:rPr>
                  </w:pPr>
                  <w:r>
                    <w:rPr>
                      <w:kern w:val="0"/>
                      <w:szCs w:val="21"/>
                    </w:rPr>
                    <w:t>80</w:t>
                  </w:r>
                </w:p>
              </w:tc>
            </w:tr>
          </w:tbl>
          <w:p>
            <w:pPr>
              <w:widowControl/>
              <w:spacing w:line="360" w:lineRule="auto"/>
              <w:jc w:val="left"/>
              <w:rPr>
                <w:kern w:val="0"/>
                <w:sz w:val="24"/>
                <w:szCs w:val="20"/>
              </w:rPr>
            </w:pPr>
          </w:p>
          <w:p>
            <w:pPr>
              <w:widowControl/>
              <w:spacing w:line="360" w:lineRule="auto"/>
              <w:ind w:firstLine="480" w:firstLineChars="200"/>
              <w:jc w:val="left"/>
              <w:rPr>
                <w:kern w:val="0"/>
                <w:sz w:val="24"/>
                <w:szCs w:val="20"/>
              </w:rPr>
            </w:pPr>
            <w:r>
              <w:rPr>
                <w:rFonts w:hint="eastAsia"/>
                <w:kern w:val="0"/>
                <w:sz w:val="24"/>
                <w:szCs w:val="20"/>
              </w:rPr>
              <w:t>（3）</w:t>
            </w:r>
            <w:r>
              <w:rPr>
                <w:kern w:val="0"/>
                <w:sz w:val="24"/>
                <w:szCs w:val="20"/>
              </w:rPr>
              <w:t>预测结果及分析</w:t>
            </w:r>
          </w:p>
          <w:p>
            <w:pPr>
              <w:widowControl/>
              <w:spacing w:line="360" w:lineRule="auto"/>
              <w:ind w:firstLine="480" w:firstLineChars="200"/>
              <w:jc w:val="left"/>
              <w:rPr>
                <w:kern w:val="0"/>
                <w:sz w:val="24"/>
                <w:szCs w:val="20"/>
              </w:rPr>
            </w:pPr>
            <w:r>
              <w:rPr>
                <w:rFonts w:hint="eastAsia"/>
                <w:kern w:val="0"/>
                <w:sz w:val="24"/>
                <w:szCs w:val="20"/>
              </w:rPr>
              <w:t>项目每天昼间生产</w:t>
            </w:r>
            <w:r>
              <w:rPr>
                <w:kern w:val="0"/>
                <w:sz w:val="24"/>
                <w:szCs w:val="20"/>
              </w:rPr>
              <w:t>16</w:t>
            </w:r>
            <w:r>
              <w:rPr>
                <w:rFonts w:hint="eastAsia"/>
                <w:kern w:val="0"/>
                <w:sz w:val="24"/>
                <w:szCs w:val="20"/>
              </w:rPr>
              <w:t>小时，夜间（2</w:t>
            </w:r>
            <w:r>
              <w:rPr>
                <w:kern w:val="0"/>
                <w:sz w:val="24"/>
                <w:szCs w:val="20"/>
              </w:rPr>
              <w:t>2</w:t>
            </w:r>
            <w:r>
              <w:rPr>
                <w:rFonts w:hint="eastAsia"/>
                <w:kern w:val="0"/>
                <w:sz w:val="24"/>
                <w:szCs w:val="20"/>
              </w:rPr>
              <w:t>:</w:t>
            </w:r>
            <w:r>
              <w:rPr>
                <w:kern w:val="0"/>
                <w:sz w:val="24"/>
                <w:szCs w:val="20"/>
              </w:rPr>
              <w:t>00</w:t>
            </w:r>
            <w:r>
              <w:rPr>
                <w:rFonts w:hint="eastAsia"/>
                <w:kern w:val="0"/>
                <w:sz w:val="24"/>
                <w:szCs w:val="20"/>
              </w:rPr>
              <w:t>—6:</w:t>
            </w:r>
            <w:r>
              <w:rPr>
                <w:kern w:val="0"/>
                <w:sz w:val="24"/>
                <w:szCs w:val="20"/>
              </w:rPr>
              <w:t>00</w:t>
            </w:r>
            <w:r>
              <w:rPr>
                <w:rFonts w:hint="eastAsia"/>
                <w:kern w:val="0"/>
                <w:sz w:val="24"/>
                <w:szCs w:val="20"/>
              </w:rPr>
              <w:t>）不生产，</w:t>
            </w:r>
            <w:r>
              <w:rPr>
                <w:kern w:val="0"/>
                <w:sz w:val="24"/>
                <w:szCs w:val="20"/>
              </w:rPr>
              <w:t>噪声影响预测结果见</w:t>
            </w:r>
            <w:r>
              <w:rPr>
                <w:rFonts w:hint="eastAsia"/>
                <w:kern w:val="0"/>
                <w:sz w:val="24"/>
                <w:szCs w:val="20"/>
              </w:rPr>
              <w:t>下</w:t>
            </w:r>
            <w:r>
              <w:rPr>
                <w:kern w:val="0"/>
                <w:sz w:val="24"/>
                <w:szCs w:val="20"/>
              </w:rPr>
              <w:t>表。</w:t>
            </w:r>
          </w:p>
          <w:p>
            <w:pPr>
              <w:keepNext/>
              <w:keepLines/>
              <w:spacing w:line="360" w:lineRule="auto"/>
              <w:jc w:val="center"/>
              <w:outlineLvl w:val="2"/>
              <w:rPr>
                <w:b/>
                <w:bCs/>
                <w:szCs w:val="21"/>
              </w:rPr>
            </w:pPr>
            <w:r>
              <w:rPr>
                <w:b/>
                <w:bCs/>
                <w:szCs w:val="21"/>
              </w:rPr>
              <w:t>表4-7建设项目厂界噪声预测结果单位：dB（A）</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8"/>
              <w:gridCol w:w="4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jc w:val="center"/>
              </w:trPr>
              <w:tc>
                <w:tcPr>
                  <w:tcW w:w="2439" w:type="pct"/>
                  <w:vMerge w:val="restart"/>
                  <w:vAlign w:val="center"/>
                </w:tcPr>
                <w:p>
                  <w:pPr>
                    <w:widowControl/>
                    <w:spacing w:line="264" w:lineRule="auto"/>
                    <w:jc w:val="center"/>
                    <w:rPr>
                      <w:kern w:val="0"/>
                      <w:szCs w:val="21"/>
                    </w:rPr>
                  </w:pPr>
                  <w:r>
                    <w:rPr>
                      <w:kern w:val="0"/>
                      <w:szCs w:val="21"/>
                    </w:rPr>
                    <w:t>评价点位置</w:t>
                  </w:r>
                </w:p>
              </w:tc>
              <w:tc>
                <w:tcPr>
                  <w:tcW w:w="2561" w:type="pct"/>
                  <w:vAlign w:val="center"/>
                </w:tcPr>
                <w:p>
                  <w:pPr>
                    <w:widowControl/>
                    <w:spacing w:line="264" w:lineRule="auto"/>
                    <w:jc w:val="center"/>
                    <w:rPr>
                      <w:kern w:val="0"/>
                      <w:szCs w:val="21"/>
                    </w:rPr>
                  </w:pPr>
                  <w:r>
                    <w:rPr>
                      <w:kern w:val="0"/>
                      <w:szCs w:val="21"/>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439" w:type="pct"/>
                  <w:vMerge w:val="continue"/>
                  <w:vAlign w:val="center"/>
                </w:tcPr>
                <w:p>
                  <w:pPr>
                    <w:widowControl/>
                    <w:spacing w:line="264" w:lineRule="auto"/>
                    <w:jc w:val="center"/>
                    <w:rPr>
                      <w:kern w:val="0"/>
                      <w:szCs w:val="21"/>
                    </w:rPr>
                  </w:pPr>
                </w:p>
              </w:tc>
              <w:tc>
                <w:tcPr>
                  <w:tcW w:w="2561" w:type="pct"/>
                  <w:vAlign w:val="center"/>
                </w:tcPr>
                <w:p>
                  <w:pPr>
                    <w:widowControl/>
                    <w:spacing w:line="264" w:lineRule="auto"/>
                    <w:jc w:val="center"/>
                    <w:rPr>
                      <w:kern w:val="0"/>
                      <w:szCs w:val="21"/>
                    </w:rPr>
                  </w:pPr>
                  <w:r>
                    <w:rPr>
                      <w:kern w:val="0"/>
                      <w:szCs w:val="21"/>
                    </w:rPr>
                    <w:t>贡献值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439" w:type="pct"/>
                  <w:vAlign w:val="center"/>
                </w:tcPr>
                <w:p>
                  <w:pPr>
                    <w:widowControl/>
                    <w:spacing w:line="264" w:lineRule="auto"/>
                    <w:jc w:val="center"/>
                    <w:rPr>
                      <w:kern w:val="0"/>
                      <w:szCs w:val="21"/>
                    </w:rPr>
                  </w:pPr>
                  <w:r>
                    <w:rPr>
                      <w:rFonts w:hint="eastAsia"/>
                      <w:kern w:val="0"/>
                      <w:szCs w:val="21"/>
                    </w:rPr>
                    <w:t>东</w:t>
                  </w:r>
                  <w:r>
                    <w:rPr>
                      <w:kern w:val="0"/>
                      <w:szCs w:val="21"/>
                    </w:rPr>
                    <w:t>厂界</w:t>
                  </w:r>
                </w:p>
              </w:tc>
              <w:tc>
                <w:tcPr>
                  <w:tcW w:w="2561" w:type="pct"/>
                  <w:vAlign w:val="center"/>
                </w:tcPr>
                <w:p>
                  <w:pPr>
                    <w:widowControl/>
                    <w:spacing w:line="264" w:lineRule="auto"/>
                    <w:jc w:val="center"/>
                    <w:rPr>
                      <w:kern w:val="0"/>
                      <w:szCs w:val="21"/>
                    </w:rPr>
                  </w:pPr>
                  <w:r>
                    <w:rPr>
                      <w:kern w:val="0"/>
                      <w:szCs w:val="21"/>
                    </w:rP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439" w:type="pct"/>
                  <w:vAlign w:val="center"/>
                </w:tcPr>
                <w:p>
                  <w:pPr>
                    <w:widowControl/>
                    <w:spacing w:line="264" w:lineRule="auto"/>
                    <w:jc w:val="center"/>
                    <w:rPr>
                      <w:kern w:val="0"/>
                      <w:szCs w:val="21"/>
                    </w:rPr>
                  </w:pPr>
                  <w:r>
                    <w:rPr>
                      <w:rFonts w:hint="eastAsia"/>
                      <w:kern w:val="0"/>
                      <w:szCs w:val="21"/>
                    </w:rPr>
                    <w:t>南</w:t>
                  </w:r>
                  <w:r>
                    <w:rPr>
                      <w:kern w:val="0"/>
                      <w:szCs w:val="21"/>
                    </w:rPr>
                    <w:t>厂界</w:t>
                  </w:r>
                </w:p>
              </w:tc>
              <w:tc>
                <w:tcPr>
                  <w:tcW w:w="2561" w:type="pct"/>
                  <w:vAlign w:val="center"/>
                </w:tcPr>
                <w:p>
                  <w:pPr>
                    <w:widowControl/>
                    <w:spacing w:line="264" w:lineRule="auto"/>
                    <w:jc w:val="center"/>
                    <w:rPr>
                      <w:kern w:val="0"/>
                      <w:szCs w:val="21"/>
                    </w:rPr>
                  </w:pPr>
                  <w:r>
                    <w:rPr>
                      <w:kern w:val="0"/>
                      <w:szCs w:val="21"/>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439" w:type="pct"/>
                  <w:vAlign w:val="center"/>
                </w:tcPr>
                <w:p>
                  <w:pPr>
                    <w:widowControl/>
                    <w:spacing w:line="264" w:lineRule="auto"/>
                    <w:jc w:val="center"/>
                    <w:rPr>
                      <w:kern w:val="0"/>
                      <w:szCs w:val="21"/>
                    </w:rPr>
                  </w:pPr>
                  <w:r>
                    <w:rPr>
                      <w:rFonts w:hint="eastAsia"/>
                      <w:kern w:val="0"/>
                      <w:szCs w:val="21"/>
                    </w:rPr>
                    <w:t>西</w:t>
                  </w:r>
                  <w:r>
                    <w:rPr>
                      <w:kern w:val="0"/>
                      <w:szCs w:val="21"/>
                    </w:rPr>
                    <w:t>厂界</w:t>
                  </w:r>
                </w:p>
              </w:tc>
              <w:tc>
                <w:tcPr>
                  <w:tcW w:w="2561" w:type="pct"/>
                  <w:vAlign w:val="center"/>
                </w:tcPr>
                <w:p>
                  <w:pPr>
                    <w:widowControl/>
                    <w:spacing w:line="264" w:lineRule="auto"/>
                    <w:jc w:val="center"/>
                    <w:rPr>
                      <w:kern w:val="0"/>
                      <w:szCs w:val="21"/>
                    </w:rPr>
                  </w:pPr>
                  <w:r>
                    <w:rPr>
                      <w:kern w:val="0"/>
                      <w:szCs w:val="21"/>
                    </w:rPr>
                    <w:t>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439" w:type="pct"/>
                  <w:vAlign w:val="center"/>
                </w:tcPr>
                <w:p>
                  <w:pPr>
                    <w:widowControl/>
                    <w:spacing w:line="264" w:lineRule="auto"/>
                    <w:jc w:val="center"/>
                    <w:rPr>
                      <w:kern w:val="0"/>
                      <w:szCs w:val="21"/>
                    </w:rPr>
                  </w:pPr>
                  <w:r>
                    <w:rPr>
                      <w:rFonts w:hint="eastAsia"/>
                      <w:kern w:val="0"/>
                      <w:szCs w:val="21"/>
                    </w:rPr>
                    <w:t>北</w:t>
                  </w:r>
                  <w:r>
                    <w:rPr>
                      <w:kern w:val="0"/>
                      <w:szCs w:val="21"/>
                    </w:rPr>
                    <w:t>厂界</w:t>
                  </w:r>
                </w:p>
              </w:tc>
              <w:tc>
                <w:tcPr>
                  <w:tcW w:w="2561" w:type="pct"/>
                  <w:vAlign w:val="center"/>
                </w:tcPr>
                <w:p>
                  <w:pPr>
                    <w:widowControl/>
                    <w:spacing w:line="264" w:lineRule="auto"/>
                    <w:jc w:val="center"/>
                    <w:rPr>
                      <w:kern w:val="0"/>
                      <w:szCs w:val="21"/>
                    </w:rPr>
                  </w:pPr>
                  <w:r>
                    <w:rPr>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439" w:type="pct"/>
                  <w:vAlign w:val="center"/>
                </w:tcPr>
                <w:p>
                  <w:pPr>
                    <w:widowControl/>
                    <w:spacing w:line="264" w:lineRule="auto"/>
                    <w:jc w:val="center"/>
                    <w:rPr>
                      <w:kern w:val="0"/>
                      <w:szCs w:val="21"/>
                    </w:rPr>
                  </w:pPr>
                  <w:r>
                    <w:rPr>
                      <w:rFonts w:hint="eastAsia"/>
                      <w:kern w:val="0"/>
                      <w:szCs w:val="21"/>
                    </w:rPr>
                    <w:t>《工业企业厂界环境噪声排放标准》（GB12348-2008）2类</w:t>
                  </w:r>
                </w:p>
              </w:tc>
              <w:tc>
                <w:tcPr>
                  <w:tcW w:w="2561" w:type="pct"/>
                  <w:vAlign w:val="center"/>
                </w:tcPr>
                <w:p>
                  <w:pPr>
                    <w:widowControl/>
                    <w:spacing w:line="264" w:lineRule="auto"/>
                    <w:jc w:val="center"/>
                    <w:rPr>
                      <w:kern w:val="0"/>
                      <w:szCs w:val="21"/>
                    </w:rPr>
                  </w:pPr>
                  <w:r>
                    <w:rPr>
                      <w:rFonts w:hint="eastAsia"/>
                      <w:kern w:val="0"/>
                      <w:szCs w:val="21"/>
                    </w:rPr>
                    <w:t>60</w:t>
                  </w:r>
                </w:p>
              </w:tc>
            </w:tr>
          </w:tbl>
          <w:p>
            <w:pPr>
              <w:spacing w:line="360" w:lineRule="auto"/>
              <w:ind w:firstLine="480" w:firstLineChars="200"/>
              <w:rPr>
                <w:sz w:val="24"/>
                <w:highlight w:val="cyan"/>
              </w:rPr>
            </w:pPr>
            <w:r>
              <w:rPr>
                <w:rFonts w:hint="eastAsia" w:hAnsi="宋体"/>
                <w:kern w:val="0"/>
                <w:sz w:val="24"/>
              </w:rPr>
              <w:t>由预测结果可知：项目营运期设备噪声采取隔声降噪措施，经距离衰减后，项目所在地四周厂界噪声贡献值可以满足《工业企业厂界环境噪声排放标准》（GB12348-2008）中的2类标准要求，对周边声环境影响较小。</w:t>
            </w:r>
          </w:p>
          <w:p>
            <w:pPr>
              <w:spacing w:line="360" w:lineRule="auto"/>
              <w:ind w:firstLine="480" w:firstLineChars="200"/>
              <w:rPr>
                <w:sz w:val="24"/>
              </w:rPr>
            </w:pPr>
            <w:r>
              <w:rPr>
                <w:sz w:val="24"/>
              </w:rPr>
              <w:t>（3）噪声监测计划</w:t>
            </w:r>
          </w:p>
          <w:p>
            <w:pPr>
              <w:spacing w:line="360" w:lineRule="auto"/>
              <w:ind w:firstLine="480" w:firstLineChars="200"/>
              <w:rPr>
                <w:sz w:val="24"/>
              </w:rPr>
            </w:pPr>
            <w:r>
              <w:rPr>
                <w:sz w:val="24"/>
              </w:rPr>
              <w:t>项目运营期噪声监测计划见下表：</w:t>
            </w:r>
          </w:p>
          <w:p>
            <w:pPr>
              <w:keepNext/>
              <w:keepLines/>
              <w:spacing w:line="360" w:lineRule="auto"/>
              <w:jc w:val="center"/>
              <w:outlineLvl w:val="2"/>
              <w:rPr>
                <w:b/>
                <w:bCs/>
                <w:szCs w:val="21"/>
              </w:rPr>
            </w:pPr>
            <w:r>
              <w:rPr>
                <w:b/>
                <w:bCs/>
                <w:szCs w:val="21"/>
              </w:rPr>
              <w:t>表4-8 噪声监测计划表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1178"/>
              <w:gridCol w:w="1780"/>
              <w:gridCol w:w="3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2" w:type="pct"/>
                  <w:vAlign w:val="center"/>
                </w:tcPr>
                <w:p>
                  <w:pPr>
                    <w:snapToGrid w:val="0"/>
                    <w:jc w:val="center"/>
                    <w:rPr>
                      <w:szCs w:val="21"/>
                    </w:rPr>
                  </w:pPr>
                  <w:r>
                    <w:rPr>
                      <w:szCs w:val="21"/>
                    </w:rPr>
                    <w:t>监测点位</w:t>
                  </w:r>
                </w:p>
              </w:tc>
              <w:tc>
                <w:tcPr>
                  <w:tcW w:w="715" w:type="pct"/>
                  <w:vAlign w:val="center"/>
                </w:tcPr>
                <w:p>
                  <w:pPr>
                    <w:snapToGrid w:val="0"/>
                    <w:jc w:val="center"/>
                    <w:rPr>
                      <w:szCs w:val="21"/>
                    </w:rPr>
                  </w:pPr>
                  <w:r>
                    <w:rPr>
                      <w:szCs w:val="21"/>
                    </w:rPr>
                    <w:t>监测因子</w:t>
                  </w:r>
                </w:p>
              </w:tc>
              <w:tc>
                <w:tcPr>
                  <w:tcW w:w="1081" w:type="pct"/>
                  <w:vAlign w:val="center"/>
                </w:tcPr>
                <w:p>
                  <w:pPr>
                    <w:snapToGrid w:val="0"/>
                    <w:jc w:val="center"/>
                    <w:rPr>
                      <w:szCs w:val="21"/>
                    </w:rPr>
                  </w:pPr>
                  <w:r>
                    <w:rPr>
                      <w:szCs w:val="21"/>
                    </w:rPr>
                    <w:t>监测频率</w:t>
                  </w:r>
                </w:p>
              </w:tc>
              <w:tc>
                <w:tcPr>
                  <w:tcW w:w="2161" w:type="pct"/>
                  <w:vAlign w:val="center"/>
                </w:tcPr>
                <w:p>
                  <w:pPr>
                    <w:snapToGrid w:val="0"/>
                    <w:jc w:val="center"/>
                    <w:rPr>
                      <w:szCs w:val="21"/>
                    </w:rPr>
                  </w:pPr>
                  <w:r>
                    <w:rPr>
                      <w:szCs w:val="21"/>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2" w:type="pct"/>
                  <w:vAlign w:val="center"/>
                </w:tcPr>
                <w:p>
                  <w:pPr>
                    <w:snapToGrid w:val="0"/>
                    <w:jc w:val="center"/>
                    <w:rPr>
                      <w:szCs w:val="21"/>
                    </w:rPr>
                  </w:pPr>
                  <w:r>
                    <w:rPr>
                      <w:szCs w:val="21"/>
                    </w:rPr>
                    <w:t>厂界四</w:t>
                  </w:r>
                  <w:r>
                    <w:rPr>
                      <w:rFonts w:hint="eastAsia"/>
                      <w:szCs w:val="21"/>
                    </w:rPr>
                    <w:t>周</w:t>
                  </w:r>
                  <w:r>
                    <w:rPr>
                      <w:szCs w:val="21"/>
                    </w:rPr>
                    <w:t>1m外</w:t>
                  </w:r>
                </w:p>
              </w:tc>
              <w:tc>
                <w:tcPr>
                  <w:tcW w:w="715" w:type="pct"/>
                  <w:vAlign w:val="center"/>
                </w:tcPr>
                <w:p>
                  <w:pPr>
                    <w:snapToGrid w:val="0"/>
                    <w:jc w:val="center"/>
                    <w:rPr>
                      <w:szCs w:val="21"/>
                    </w:rPr>
                  </w:pPr>
                  <w:r>
                    <w:rPr>
                      <w:szCs w:val="21"/>
                    </w:rPr>
                    <w:t>噪声</w:t>
                  </w:r>
                </w:p>
              </w:tc>
              <w:tc>
                <w:tcPr>
                  <w:tcW w:w="1081" w:type="pct"/>
                  <w:vAlign w:val="center"/>
                </w:tcPr>
                <w:p>
                  <w:pPr>
                    <w:snapToGrid w:val="0"/>
                    <w:jc w:val="center"/>
                    <w:rPr>
                      <w:szCs w:val="21"/>
                    </w:rPr>
                  </w:pPr>
                  <w:r>
                    <w:rPr>
                      <w:szCs w:val="21"/>
                    </w:rPr>
                    <w:t>每季1次</w:t>
                  </w:r>
                </w:p>
              </w:tc>
              <w:tc>
                <w:tcPr>
                  <w:tcW w:w="2161" w:type="pct"/>
                  <w:vAlign w:val="center"/>
                </w:tcPr>
                <w:p>
                  <w:pPr>
                    <w:snapToGrid w:val="0"/>
                    <w:jc w:val="center"/>
                    <w:rPr>
                      <w:szCs w:val="21"/>
                    </w:rPr>
                  </w:pPr>
                  <w:r>
                    <w:rPr>
                      <w:szCs w:val="21"/>
                    </w:rPr>
                    <w:t>《工业企业厂界噪声排放标准》（GB12438-2008）2类标准执行</w:t>
                  </w:r>
                </w:p>
              </w:tc>
            </w:tr>
          </w:tbl>
          <w:p>
            <w:pPr>
              <w:spacing w:line="360" w:lineRule="auto"/>
              <w:rPr>
                <w:b/>
                <w:bCs/>
                <w:sz w:val="24"/>
              </w:rPr>
            </w:pPr>
          </w:p>
          <w:p>
            <w:pPr>
              <w:spacing w:line="360" w:lineRule="auto"/>
              <w:rPr>
                <w:sz w:val="24"/>
              </w:rPr>
            </w:pPr>
            <w:r>
              <w:rPr>
                <w:b/>
                <w:bCs/>
                <w:sz w:val="24"/>
              </w:rPr>
              <w:t>4.2.4固体废弃物</w:t>
            </w:r>
            <w:r>
              <w:rPr>
                <w:rFonts w:hint="eastAsia"/>
                <w:b/>
                <w:bCs/>
                <w:sz w:val="24"/>
              </w:rPr>
              <w:t>影响</w:t>
            </w:r>
          </w:p>
          <w:p>
            <w:pPr>
              <w:spacing w:line="360" w:lineRule="auto"/>
              <w:ind w:firstLine="480" w:firstLineChars="200"/>
              <w:rPr>
                <w:sz w:val="24"/>
              </w:rPr>
            </w:pPr>
            <w:r>
              <w:rPr>
                <w:sz w:val="24"/>
              </w:rPr>
              <w:t>（1）固体废物产生情况</w:t>
            </w:r>
          </w:p>
          <w:p>
            <w:pPr>
              <w:spacing w:line="360" w:lineRule="auto"/>
              <w:ind w:firstLine="480" w:firstLineChars="200"/>
              <w:rPr>
                <w:sz w:val="24"/>
              </w:rPr>
            </w:pPr>
            <w:r>
              <w:rPr>
                <w:sz w:val="24"/>
              </w:rPr>
              <w:t>1）生活垃圾</w:t>
            </w:r>
          </w:p>
          <w:p>
            <w:pPr>
              <w:spacing w:line="360" w:lineRule="auto"/>
              <w:ind w:firstLine="480" w:firstLineChars="200"/>
              <w:rPr>
                <w:kern w:val="0"/>
                <w:sz w:val="24"/>
              </w:rPr>
            </w:pPr>
            <w:r>
              <w:rPr>
                <w:kern w:val="0"/>
                <w:sz w:val="24"/>
              </w:rPr>
              <w:t>本项目职工</w:t>
            </w:r>
            <w:r>
              <w:rPr>
                <w:rFonts w:hint="eastAsia"/>
                <w:kern w:val="0"/>
                <w:sz w:val="24"/>
              </w:rPr>
              <w:t>6</w:t>
            </w:r>
            <w:r>
              <w:rPr>
                <w:kern w:val="0"/>
                <w:sz w:val="24"/>
              </w:rPr>
              <w:t>人，年工作日180天，员工生活垃圾取1kg/（人·d），则本项目每年产生的生活垃圾量约1.08t/a，生活垃圾采取垃圾桶</w:t>
            </w:r>
            <w:r>
              <w:rPr>
                <w:rFonts w:hint="eastAsia"/>
                <w:kern w:val="0"/>
                <w:sz w:val="24"/>
              </w:rPr>
              <w:t>分类</w:t>
            </w:r>
            <w:r>
              <w:rPr>
                <w:kern w:val="0"/>
                <w:sz w:val="24"/>
              </w:rPr>
              <w:t>收集后，交由环卫部门清运。</w:t>
            </w:r>
          </w:p>
          <w:p>
            <w:pPr>
              <w:spacing w:line="360" w:lineRule="auto"/>
              <w:ind w:firstLine="480" w:firstLineChars="200"/>
              <w:rPr>
                <w:sz w:val="24"/>
              </w:rPr>
            </w:pPr>
            <w:r>
              <w:rPr>
                <w:sz w:val="24"/>
              </w:rPr>
              <w:t>2）一般工业固废</w:t>
            </w:r>
          </w:p>
          <w:p>
            <w:pPr>
              <w:spacing w:line="360" w:lineRule="auto"/>
              <w:ind w:firstLine="480" w:firstLineChars="200"/>
              <w:rPr>
                <w:kern w:val="0"/>
                <w:sz w:val="24"/>
              </w:rPr>
            </w:pPr>
            <w:r>
              <w:rPr>
                <w:rFonts w:hint="eastAsia" w:ascii="宋体" w:hAnsi="宋体" w:cs="宋体"/>
                <w:kern w:val="0"/>
                <w:sz w:val="24"/>
              </w:rPr>
              <w:t>①</w:t>
            </w:r>
            <w:r>
              <w:rPr>
                <w:kern w:val="0"/>
                <w:sz w:val="24"/>
              </w:rPr>
              <w:t>袋式除尘器收集的粉尘</w:t>
            </w:r>
          </w:p>
          <w:p>
            <w:pPr>
              <w:spacing w:line="360" w:lineRule="auto"/>
              <w:ind w:firstLine="480" w:firstLineChars="200"/>
              <w:rPr>
                <w:kern w:val="0"/>
                <w:sz w:val="24"/>
              </w:rPr>
            </w:pPr>
            <w:r>
              <w:rPr>
                <w:kern w:val="0"/>
                <w:sz w:val="24"/>
              </w:rPr>
              <w:t>根据物料平衡，袋式除尘器收集的粉尘为96.56t/a，定期清理后，作为产品（石粉石沫）外售。</w:t>
            </w:r>
          </w:p>
          <w:p>
            <w:pPr>
              <w:adjustRightInd w:val="0"/>
              <w:spacing w:line="360" w:lineRule="auto"/>
              <w:ind w:firstLine="480" w:firstLineChars="200"/>
              <w:rPr>
                <w:kern w:val="0"/>
                <w:sz w:val="24"/>
              </w:rPr>
            </w:pPr>
            <w:r>
              <w:rPr>
                <w:rFonts w:hint="eastAsia" w:ascii="宋体" w:hAnsi="宋体" w:cs="宋体"/>
                <w:kern w:val="0"/>
                <w:sz w:val="24"/>
              </w:rPr>
              <w:t>②</w:t>
            </w:r>
            <w:r>
              <w:rPr>
                <w:kern w:val="0"/>
                <w:sz w:val="24"/>
              </w:rPr>
              <w:t>泥饼</w:t>
            </w:r>
          </w:p>
          <w:p>
            <w:pPr>
              <w:spacing w:line="360" w:lineRule="auto"/>
              <w:ind w:firstLine="480" w:firstLineChars="200"/>
              <w:rPr>
                <w:kern w:val="0"/>
                <w:sz w:val="24"/>
              </w:rPr>
            </w:pPr>
            <w:r>
              <w:rPr>
                <w:kern w:val="0"/>
                <w:sz w:val="24"/>
              </w:rPr>
              <w:t>本项目产生的泥渣主要来源于洗砂工序，这些泥渣主要沉积在浓缩池的底部，提升至泥浆压滤机脱水处理后，泥饼含水率约70%，产生量为500t/a，场地内设置泥饼堆场，规范泥饼堆场后，泥饼暂存于泥饼堆场后，定期有车辆运输到周边垃圾填埋场，按要求进行填埋处理。</w:t>
            </w:r>
          </w:p>
          <w:p>
            <w:pPr>
              <w:spacing w:line="360" w:lineRule="auto"/>
              <w:ind w:firstLine="480" w:firstLineChars="200"/>
              <w:rPr>
                <w:sz w:val="24"/>
              </w:rPr>
            </w:pPr>
            <w:r>
              <w:rPr>
                <w:sz w:val="24"/>
              </w:rPr>
              <w:t>3）危险废物</w:t>
            </w:r>
          </w:p>
          <w:p>
            <w:pPr>
              <w:spacing w:line="360" w:lineRule="auto"/>
              <w:ind w:firstLine="480" w:firstLineChars="200"/>
              <w:rPr>
                <w:sz w:val="24"/>
              </w:rPr>
            </w:pPr>
            <w:r>
              <w:rPr>
                <w:rFonts w:hint="eastAsia" w:ascii="宋体" w:hAnsi="宋体" w:cs="宋体"/>
                <w:sz w:val="24"/>
              </w:rPr>
              <w:t>①</w:t>
            </w:r>
            <w:r>
              <w:rPr>
                <w:sz w:val="24"/>
              </w:rPr>
              <w:t>含油抹布、废手套</w:t>
            </w:r>
          </w:p>
          <w:p>
            <w:pPr>
              <w:spacing w:line="360" w:lineRule="auto"/>
              <w:ind w:firstLine="480" w:firstLineChars="200"/>
              <w:rPr>
                <w:sz w:val="24"/>
              </w:rPr>
            </w:pPr>
            <w:r>
              <w:rPr>
                <w:sz w:val="24"/>
              </w:rPr>
              <w:t>项目设备维护、保养会产生少量含油抹布、废手套根据建设单位提供资料，产生量约为0.05t/a，根据《国家危险废物名录》（2021版），含油抹布、废手套危废代码为HW08 900-249-08，存于废物暂存箱，交由有资质的单位处置。</w:t>
            </w:r>
          </w:p>
          <w:p>
            <w:pPr>
              <w:spacing w:line="360" w:lineRule="auto"/>
              <w:ind w:firstLine="480" w:firstLineChars="200"/>
              <w:rPr>
                <w:sz w:val="24"/>
              </w:rPr>
            </w:pPr>
            <w:r>
              <w:rPr>
                <w:rFonts w:hint="eastAsia" w:ascii="宋体" w:hAnsi="宋体" w:cs="宋体"/>
                <w:sz w:val="24"/>
              </w:rPr>
              <w:t>②</w:t>
            </w:r>
            <w:r>
              <w:rPr>
                <w:sz w:val="24"/>
              </w:rPr>
              <w:t>废机油</w:t>
            </w:r>
          </w:p>
          <w:p>
            <w:pPr>
              <w:spacing w:line="360" w:lineRule="auto"/>
              <w:ind w:firstLine="480" w:firstLineChars="200"/>
              <w:rPr>
                <w:sz w:val="24"/>
              </w:rPr>
            </w:pPr>
            <w:r>
              <w:rPr>
                <w:sz w:val="24"/>
              </w:rPr>
              <w:t>项目设备维护、保养会产生废机油，根据建设单位提供资料，产生量约为0.15t/a，根据《国家危险废物名录》（2021版），废机油危废代码为HW08 900-249-08，暂存于危废暂存箱内，交由有资质的单位处置。</w:t>
            </w:r>
          </w:p>
          <w:p>
            <w:pPr>
              <w:keepNext/>
              <w:keepLines/>
              <w:spacing w:line="360" w:lineRule="auto"/>
              <w:jc w:val="center"/>
              <w:outlineLvl w:val="2"/>
              <w:rPr>
                <w:b/>
                <w:bCs/>
                <w:szCs w:val="21"/>
              </w:rPr>
            </w:pPr>
            <w:r>
              <w:rPr>
                <w:b/>
                <w:bCs/>
                <w:szCs w:val="21"/>
              </w:rPr>
              <w:t>表4-9   固体废物核算统计表</w:t>
            </w:r>
          </w:p>
          <w:tbl>
            <w:tblPr>
              <w:tblStyle w:val="26"/>
              <w:tblW w:w="5000" w:type="pct"/>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990"/>
              <w:gridCol w:w="955"/>
              <w:gridCol w:w="1482"/>
              <w:gridCol w:w="658"/>
              <w:gridCol w:w="1196"/>
              <w:gridCol w:w="800"/>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pct"/>
                  <w:vAlign w:val="center"/>
                </w:tcPr>
                <w:p>
                  <w:pPr>
                    <w:snapToGrid w:val="0"/>
                    <w:spacing w:line="240" w:lineRule="exact"/>
                    <w:jc w:val="center"/>
                    <w:rPr>
                      <w:szCs w:val="21"/>
                    </w:rPr>
                  </w:pPr>
                  <w:r>
                    <w:rPr>
                      <w:szCs w:val="21"/>
                    </w:rPr>
                    <w:t>名称</w:t>
                  </w:r>
                </w:p>
              </w:tc>
              <w:tc>
                <w:tcPr>
                  <w:tcW w:w="638" w:type="pct"/>
                  <w:vAlign w:val="center"/>
                </w:tcPr>
                <w:p>
                  <w:pPr>
                    <w:snapToGrid w:val="0"/>
                    <w:spacing w:line="240" w:lineRule="exact"/>
                    <w:jc w:val="center"/>
                    <w:rPr>
                      <w:szCs w:val="21"/>
                    </w:rPr>
                  </w:pPr>
                  <w:r>
                    <w:rPr>
                      <w:szCs w:val="21"/>
                    </w:rPr>
                    <w:t>产生环节</w:t>
                  </w:r>
                </w:p>
              </w:tc>
              <w:tc>
                <w:tcPr>
                  <w:tcW w:w="617" w:type="pct"/>
                  <w:vAlign w:val="center"/>
                </w:tcPr>
                <w:p>
                  <w:pPr>
                    <w:snapToGrid w:val="0"/>
                    <w:spacing w:line="240" w:lineRule="exact"/>
                    <w:jc w:val="center"/>
                    <w:rPr>
                      <w:szCs w:val="21"/>
                    </w:rPr>
                  </w:pPr>
                  <w:r>
                    <w:rPr>
                      <w:szCs w:val="21"/>
                    </w:rPr>
                    <w:t>产生量t/a</w:t>
                  </w:r>
                </w:p>
              </w:tc>
              <w:tc>
                <w:tcPr>
                  <w:tcW w:w="937" w:type="pct"/>
                  <w:vAlign w:val="center"/>
                </w:tcPr>
                <w:p>
                  <w:pPr>
                    <w:snapToGrid w:val="0"/>
                    <w:spacing w:line="240" w:lineRule="exact"/>
                    <w:jc w:val="center"/>
                    <w:rPr>
                      <w:szCs w:val="21"/>
                    </w:rPr>
                  </w:pPr>
                  <w:r>
                    <w:rPr>
                      <w:szCs w:val="21"/>
                    </w:rPr>
                    <w:t>属性</w:t>
                  </w:r>
                </w:p>
              </w:tc>
              <w:tc>
                <w:tcPr>
                  <w:tcW w:w="437" w:type="pct"/>
                  <w:vAlign w:val="center"/>
                </w:tcPr>
                <w:p>
                  <w:pPr>
                    <w:snapToGrid w:val="0"/>
                    <w:spacing w:line="240" w:lineRule="exact"/>
                    <w:jc w:val="center"/>
                    <w:rPr>
                      <w:szCs w:val="21"/>
                    </w:rPr>
                  </w:pPr>
                  <w:r>
                    <w:rPr>
                      <w:szCs w:val="21"/>
                    </w:rPr>
                    <w:t>固废类别</w:t>
                  </w:r>
                </w:p>
              </w:tc>
              <w:tc>
                <w:tcPr>
                  <w:tcW w:w="462" w:type="pct"/>
                  <w:vAlign w:val="center"/>
                </w:tcPr>
                <w:p>
                  <w:pPr>
                    <w:snapToGrid w:val="0"/>
                    <w:spacing w:line="240" w:lineRule="exact"/>
                    <w:jc w:val="center"/>
                    <w:rPr>
                      <w:szCs w:val="21"/>
                    </w:rPr>
                  </w:pPr>
                  <w:r>
                    <w:rPr>
                      <w:szCs w:val="21"/>
                    </w:rPr>
                    <w:t>固废代码</w:t>
                  </w:r>
                </w:p>
              </w:tc>
              <w:tc>
                <w:tcPr>
                  <w:tcW w:w="523" w:type="pct"/>
                  <w:vAlign w:val="center"/>
                </w:tcPr>
                <w:p>
                  <w:pPr>
                    <w:snapToGrid w:val="0"/>
                    <w:spacing w:line="240" w:lineRule="exact"/>
                    <w:jc w:val="center"/>
                    <w:rPr>
                      <w:szCs w:val="21"/>
                    </w:rPr>
                  </w:pPr>
                  <w:r>
                    <w:rPr>
                      <w:szCs w:val="21"/>
                    </w:rPr>
                    <w:t>储存方式</w:t>
                  </w:r>
                </w:p>
              </w:tc>
              <w:tc>
                <w:tcPr>
                  <w:tcW w:w="566" w:type="pct"/>
                  <w:vAlign w:val="center"/>
                </w:tcPr>
                <w:p>
                  <w:pPr>
                    <w:snapToGrid w:val="0"/>
                    <w:spacing w:line="240" w:lineRule="exact"/>
                    <w:jc w:val="center"/>
                    <w:rPr>
                      <w:szCs w:val="21"/>
                    </w:rPr>
                  </w:pPr>
                  <w:r>
                    <w:rPr>
                      <w:szCs w:val="21"/>
                    </w:rPr>
                    <w:t>利用处置方式和去向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17" w:type="pct"/>
                  <w:vAlign w:val="center"/>
                </w:tcPr>
                <w:p>
                  <w:pPr>
                    <w:snapToGrid w:val="0"/>
                    <w:spacing w:line="240" w:lineRule="exact"/>
                    <w:jc w:val="center"/>
                    <w:rPr>
                      <w:szCs w:val="21"/>
                    </w:rPr>
                  </w:pPr>
                  <w:r>
                    <w:rPr>
                      <w:szCs w:val="21"/>
                    </w:rPr>
                    <w:t>生活垃圾</w:t>
                  </w:r>
                </w:p>
              </w:tc>
              <w:tc>
                <w:tcPr>
                  <w:tcW w:w="638" w:type="pct"/>
                  <w:vAlign w:val="center"/>
                </w:tcPr>
                <w:p>
                  <w:pPr>
                    <w:snapToGrid w:val="0"/>
                    <w:spacing w:line="240" w:lineRule="exact"/>
                    <w:jc w:val="center"/>
                    <w:rPr>
                      <w:szCs w:val="21"/>
                    </w:rPr>
                  </w:pPr>
                  <w:r>
                    <w:rPr>
                      <w:szCs w:val="21"/>
                    </w:rPr>
                    <w:t>日常生活</w:t>
                  </w:r>
                </w:p>
              </w:tc>
              <w:tc>
                <w:tcPr>
                  <w:tcW w:w="617" w:type="pct"/>
                  <w:vAlign w:val="center"/>
                </w:tcPr>
                <w:p>
                  <w:pPr>
                    <w:snapToGrid w:val="0"/>
                    <w:spacing w:line="240" w:lineRule="exact"/>
                    <w:jc w:val="center"/>
                    <w:rPr>
                      <w:szCs w:val="21"/>
                    </w:rPr>
                  </w:pPr>
                  <w:r>
                    <w:rPr>
                      <w:szCs w:val="21"/>
                    </w:rPr>
                    <w:t>1.08</w:t>
                  </w:r>
                </w:p>
              </w:tc>
              <w:tc>
                <w:tcPr>
                  <w:tcW w:w="937" w:type="pct"/>
                  <w:vAlign w:val="center"/>
                </w:tcPr>
                <w:p>
                  <w:pPr>
                    <w:snapToGrid w:val="0"/>
                    <w:spacing w:line="240" w:lineRule="exact"/>
                    <w:jc w:val="center"/>
                    <w:rPr>
                      <w:szCs w:val="21"/>
                    </w:rPr>
                  </w:pPr>
                  <w:r>
                    <w:rPr>
                      <w:szCs w:val="21"/>
                    </w:rPr>
                    <w:t>生活垃圾</w:t>
                  </w:r>
                </w:p>
              </w:tc>
              <w:tc>
                <w:tcPr>
                  <w:tcW w:w="437" w:type="pct"/>
                  <w:vAlign w:val="center"/>
                </w:tcPr>
                <w:p>
                  <w:pPr>
                    <w:snapToGrid w:val="0"/>
                    <w:spacing w:line="240" w:lineRule="exact"/>
                    <w:jc w:val="center"/>
                    <w:rPr>
                      <w:szCs w:val="21"/>
                    </w:rPr>
                  </w:pPr>
                  <w:r>
                    <w:rPr>
                      <w:szCs w:val="21"/>
                    </w:rPr>
                    <w:t>99</w:t>
                  </w:r>
                </w:p>
              </w:tc>
              <w:tc>
                <w:tcPr>
                  <w:tcW w:w="462" w:type="pct"/>
                  <w:vAlign w:val="center"/>
                </w:tcPr>
                <w:p>
                  <w:pPr>
                    <w:snapToGrid w:val="0"/>
                    <w:spacing w:line="240" w:lineRule="exact"/>
                    <w:jc w:val="center"/>
                    <w:rPr>
                      <w:szCs w:val="21"/>
                    </w:rPr>
                  </w:pPr>
                  <w:r>
                    <w:rPr>
                      <w:szCs w:val="21"/>
                    </w:rPr>
                    <w:t>900-999-99</w:t>
                  </w:r>
                </w:p>
              </w:tc>
              <w:tc>
                <w:tcPr>
                  <w:tcW w:w="523" w:type="pct"/>
                  <w:vAlign w:val="center"/>
                </w:tcPr>
                <w:p>
                  <w:pPr>
                    <w:snapToGrid w:val="0"/>
                    <w:spacing w:line="240" w:lineRule="exact"/>
                    <w:ind w:left="-105" w:leftChars="-50" w:right="-105" w:rightChars="-50"/>
                    <w:jc w:val="center"/>
                    <w:rPr>
                      <w:szCs w:val="21"/>
                    </w:rPr>
                  </w:pPr>
                  <w:r>
                    <w:rPr>
                      <w:szCs w:val="21"/>
                    </w:rPr>
                    <w:t>厂内垃圾桶收集</w:t>
                  </w:r>
                </w:p>
              </w:tc>
              <w:tc>
                <w:tcPr>
                  <w:tcW w:w="566" w:type="pct"/>
                  <w:vAlign w:val="center"/>
                </w:tcPr>
                <w:p>
                  <w:pPr>
                    <w:snapToGrid w:val="0"/>
                    <w:spacing w:line="240" w:lineRule="exact"/>
                    <w:ind w:left="-105" w:leftChars="-50" w:right="-105" w:rightChars="-50"/>
                    <w:jc w:val="center"/>
                    <w:rPr>
                      <w:szCs w:val="21"/>
                    </w:rPr>
                  </w:pPr>
                  <w:r>
                    <w:rPr>
                      <w:szCs w:val="21"/>
                    </w:rPr>
                    <w:t>交环卫部门处置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17" w:type="pct"/>
                  <w:vAlign w:val="center"/>
                </w:tcPr>
                <w:p>
                  <w:pPr>
                    <w:snapToGrid w:val="0"/>
                    <w:spacing w:line="240" w:lineRule="exact"/>
                    <w:jc w:val="center"/>
                    <w:rPr>
                      <w:szCs w:val="21"/>
                    </w:rPr>
                  </w:pPr>
                  <w:r>
                    <w:rPr>
                      <w:szCs w:val="21"/>
                    </w:rPr>
                    <w:t>布袋除尘器收尘</w:t>
                  </w:r>
                </w:p>
              </w:tc>
              <w:tc>
                <w:tcPr>
                  <w:tcW w:w="638" w:type="pct"/>
                  <w:vAlign w:val="center"/>
                </w:tcPr>
                <w:p>
                  <w:pPr>
                    <w:snapToGrid w:val="0"/>
                    <w:spacing w:line="240" w:lineRule="exact"/>
                    <w:jc w:val="center"/>
                    <w:rPr>
                      <w:szCs w:val="21"/>
                    </w:rPr>
                  </w:pPr>
                  <w:r>
                    <w:rPr>
                      <w:szCs w:val="21"/>
                    </w:rPr>
                    <w:t>生产过程</w:t>
                  </w:r>
                </w:p>
              </w:tc>
              <w:tc>
                <w:tcPr>
                  <w:tcW w:w="617" w:type="pct"/>
                  <w:vAlign w:val="center"/>
                </w:tcPr>
                <w:p>
                  <w:pPr>
                    <w:snapToGrid w:val="0"/>
                    <w:spacing w:line="240" w:lineRule="exact"/>
                    <w:jc w:val="center"/>
                    <w:rPr>
                      <w:szCs w:val="21"/>
                    </w:rPr>
                  </w:pPr>
                  <w:r>
                    <w:rPr>
                      <w:szCs w:val="21"/>
                    </w:rPr>
                    <w:t>96.56</w:t>
                  </w:r>
                </w:p>
              </w:tc>
              <w:tc>
                <w:tcPr>
                  <w:tcW w:w="937" w:type="pct"/>
                  <w:vAlign w:val="center"/>
                </w:tcPr>
                <w:p>
                  <w:pPr>
                    <w:snapToGrid w:val="0"/>
                    <w:spacing w:line="240" w:lineRule="exact"/>
                    <w:jc w:val="center"/>
                    <w:rPr>
                      <w:szCs w:val="21"/>
                    </w:rPr>
                  </w:pPr>
                  <w:r>
                    <w:rPr>
                      <w:szCs w:val="21"/>
                    </w:rPr>
                    <w:t>一般工业固废</w:t>
                  </w:r>
                </w:p>
              </w:tc>
              <w:tc>
                <w:tcPr>
                  <w:tcW w:w="437" w:type="pct"/>
                  <w:vAlign w:val="center"/>
                </w:tcPr>
                <w:p>
                  <w:pPr>
                    <w:snapToGrid w:val="0"/>
                    <w:spacing w:line="240" w:lineRule="exact"/>
                    <w:jc w:val="center"/>
                    <w:rPr>
                      <w:szCs w:val="21"/>
                    </w:rPr>
                  </w:pPr>
                  <w:r>
                    <w:rPr>
                      <w:szCs w:val="21"/>
                    </w:rPr>
                    <w:t>66</w:t>
                  </w:r>
                </w:p>
              </w:tc>
              <w:tc>
                <w:tcPr>
                  <w:tcW w:w="462" w:type="pct"/>
                  <w:vAlign w:val="center"/>
                </w:tcPr>
                <w:p>
                  <w:pPr>
                    <w:snapToGrid w:val="0"/>
                    <w:spacing w:line="240" w:lineRule="exact"/>
                    <w:jc w:val="center"/>
                    <w:rPr>
                      <w:szCs w:val="21"/>
                    </w:rPr>
                  </w:pPr>
                  <w:r>
                    <w:rPr>
                      <w:szCs w:val="21"/>
                    </w:rPr>
                    <w:t>900-999-66</w:t>
                  </w:r>
                </w:p>
              </w:tc>
              <w:tc>
                <w:tcPr>
                  <w:tcW w:w="523" w:type="pct"/>
                  <w:vAlign w:val="center"/>
                </w:tcPr>
                <w:p>
                  <w:pPr>
                    <w:snapToGrid w:val="0"/>
                    <w:spacing w:line="240" w:lineRule="exact"/>
                    <w:ind w:left="-105" w:leftChars="-50" w:right="-105" w:rightChars="-50"/>
                    <w:jc w:val="center"/>
                    <w:rPr>
                      <w:szCs w:val="21"/>
                    </w:rPr>
                  </w:pPr>
                  <w:r>
                    <w:rPr>
                      <w:szCs w:val="21"/>
                    </w:rPr>
                    <w:t>暂存于产品堆场</w:t>
                  </w:r>
                </w:p>
              </w:tc>
              <w:tc>
                <w:tcPr>
                  <w:tcW w:w="566" w:type="pct"/>
                  <w:vAlign w:val="center"/>
                </w:tcPr>
                <w:p>
                  <w:pPr>
                    <w:snapToGrid w:val="0"/>
                    <w:spacing w:line="240" w:lineRule="exact"/>
                    <w:ind w:left="-105" w:leftChars="-50" w:right="-105" w:rightChars="-50"/>
                    <w:jc w:val="center"/>
                    <w:rPr>
                      <w:snapToGrid w:val="0"/>
                      <w:kern w:val="0"/>
                      <w:szCs w:val="21"/>
                    </w:rPr>
                  </w:pPr>
                  <w:r>
                    <w:rPr>
                      <w:szCs w:val="21"/>
                    </w:rPr>
                    <w:t>作为产品外售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17" w:type="pct"/>
                  <w:vAlign w:val="center"/>
                </w:tcPr>
                <w:p>
                  <w:pPr>
                    <w:snapToGrid w:val="0"/>
                    <w:spacing w:line="240" w:lineRule="exact"/>
                    <w:jc w:val="center"/>
                    <w:rPr>
                      <w:szCs w:val="21"/>
                    </w:rPr>
                  </w:pPr>
                  <w:r>
                    <w:rPr>
                      <w:szCs w:val="21"/>
                    </w:rPr>
                    <w:t>泥饼/泥渣</w:t>
                  </w:r>
                </w:p>
              </w:tc>
              <w:tc>
                <w:tcPr>
                  <w:tcW w:w="638" w:type="pct"/>
                  <w:vAlign w:val="center"/>
                </w:tcPr>
                <w:p>
                  <w:pPr>
                    <w:snapToGrid w:val="0"/>
                    <w:spacing w:line="240" w:lineRule="exact"/>
                    <w:jc w:val="center"/>
                    <w:rPr>
                      <w:szCs w:val="21"/>
                    </w:rPr>
                  </w:pPr>
                  <w:r>
                    <w:rPr>
                      <w:szCs w:val="21"/>
                    </w:rPr>
                    <w:t>洗砂</w:t>
                  </w:r>
                </w:p>
              </w:tc>
              <w:tc>
                <w:tcPr>
                  <w:tcW w:w="617" w:type="pct"/>
                  <w:vAlign w:val="center"/>
                </w:tcPr>
                <w:p>
                  <w:pPr>
                    <w:snapToGrid w:val="0"/>
                    <w:spacing w:line="240" w:lineRule="exact"/>
                    <w:jc w:val="center"/>
                    <w:rPr>
                      <w:szCs w:val="21"/>
                    </w:rPr>
                  </w:pPr>
                  <w:r>
                    <w:rPr>
                      <w:szCs w:val="21"/>
                    </w:rPr>
                    <w:t>500</w:t>
                  </w:r>
                </w:p>
              </w:tc>
              <w:tc>
                <w:tcPr>
                  <w:tcW w:w="937" w:type="pct"/>
                  <w:vAlign w:val="center"/>
                </w:tcPr>
                <w:p>
                  <w:pPr>
                    <w:snapToGrid w:val="0"/>
                    <w:spacing w:line="240" w:lineRule="exact"/>
                    <w:jc w:val="center"/>
                    <w:rPr>
                      <w:szCs w:val="21"/>
                    </w:rPr>
                  </w:pPr>
                  <w:r>
                    <w:rPr>
                      <w:szCs w:val="21"/>
                    </w:rPr>
                    <w:t>一般工业固废</w:t>
                  </w:r>
                </w:p>
              </w:tc>
              <w:tc>
                <w:tcPr>
                  <w:tcW w:w="437" w:type="pct"/>
                  <w:vAlign w:val="center"/>
                </w:tcPr>
                <w:p>
                  <w:pPr>
                    <w:snapToGrid w:val="0"/>
                    <w:spacing w:line="240" w:lineRule="exact"/>
                    <w:jc w:val="center"/>
                    <w:rPr>
                      <w:szCs w:val="21"/>
                    </w:rPr>
                  </w:pPr>
                  <w:r>
                    <w:rPr>
                      <w:szCs w:val="21"/>
                    </w:rPr>
                    <w:t>61</w:t>
                  </w:r>
                </w:p>
              </w:tc>
              <w:tc>
                <w:tcPr>
                  <w:tcW w:w="462" w:type="pct"/>
                  <w:vAlign w:val="center"/>
                </w:tcPr>
                <w:p>
                  <w:pPr>
                    <w:snapToGrid w:val="0"/>
                    <w:spacing w:line="240" w:lineRule="exact"/>
                    <w:jc w:val="center"/>
                    <w:rPr>
                      <w:szCs w:val="21"/>
                    </w:rPr>
                  </w:pPr>
                  <w:r>
                    <w:rPr>
                      <w:szCs w:val="21"/>
                    </w:rPr>
                    <w:t>900-999-61</w:t>
                  </w:r>
                </w:p>
              </w:tc>
              <w:tc>
                <w:tcPr>
                  <w:tcW w:w="523" w:type="pct"/>
                  <w:vAlign w:val="center"/>
                </w:tcPr>
                <w:p>
                  <w:pPr>
                    <w:snapToGrid w:val="0"/>
                    <w:spacing w:line="240" w:lineRule="exact"/>
                    <w:ind w:left="-105" w:leftChars="-50" w:right="-105" w:rightChars="-50"/>
                    <w:jc w:val="center"/>
                    <w:rPr>
                      <w:szCs w:val="21"/>
                    </w:rPr>
                  </w:pPr>
                  <w:r>
                    <w:rPr>
                      <w:szCs w:val="21"/>
                    </w:rPr>
                    <w:t>泥饼堆场</w:t>
                  </w:r>
                </w:p>
              </w:tc>
              <w:tc>
                <w:tcPr>
                  <w:tcW w:w="566" w:type="pct"/>
                  <w:vAlign w:val="center"/>
                </w:tcPr>
                <w:p>
                  <w:pPr>
                    <w:snapToGrid w:val="0"/>
                    <w:spacing w:line="240" w:lineRule="exact"/>
                    <w:ind w:left="-105" w:leftChars="-50" w:right="-105" w:rightChars="-50"/>
                    <w:jc w:val="center"/>
                    <w:rPr>
                      <w:szCs w:val="21"/>
                    </w:rPr>
                  </w:pPr>
                  <w:r>
                    <w:rPr>
                      <w:szCs w:val="21"/>
                    </w:rPr>
                    <w:t>外运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pct"/>
                  <w:vAlign w:val="center"/>
                </w:tcPr>
                <w:p>
                  <w:pPr>
                    <w:snapToGrid w:val="0"/>
                    <w:spacing w:line="240" w:lineRule="exact"/>
                    <w:jc w:val="center"/>
                    <w:rPr>
                      <w:szCs w:val="21"/>
                    </w:rPr>
                  </w:pPr>
                  <w:r>
                    <w:rPr>
                      <w:szCs w:val="21"/>
                    </w:rPr>
                    <w:t>含油抹布、废手套</w:t>
                  </w:r>
                </w:p>
              </w:tc>
              <w:tc>
                <w:tcPr>
                  <w:tcW w:w="638" w:type="pct"/>
                  <w:vAlign w:val="center"/>
                </w:tcPr>
                <w:p>
                  <w:pPr>
                    <w:snapToGrid w:val="0"/>
                    <w:spacing w:line="240" w:lineRule="exact"/>
                    <w:jc w:val="center"/>
                    <w:rPr>
                      <w:szCs w:val="21"/>
                    </w:rPr>
                  </w:pPr>
                  <w:r>
                    <w:rPr>
                      <w:szCs w:val="21"/>
                    </w:rPr>
                    <w:t>设备维护</w:t>
                  </w:r>
                </w:p>
              </w:tc>
              <w:tc>
                <w:tcPr>
                  <w:tcW w:w="617" w:type="pct"/>
                  <w:vAlign w:val="center"/>
                </w:tcPr>
                <w:p>
                  <w:pPr>
                    <w:snapToGrid w:val="0"/>
                    <w:spacing w:line="240" w:lineRule="exact"/>
                    <w:jc w:val="center"/>
                    <w:rPr>
                      <w:szCs w:val="21"/>
                    </w:rPr>
                  </w:pPr>
                  <w:r>
                    <w:rPr>
                      <w:szCs w:val="21"/>
                    </w:rPr>
                    <w:t>0.05</w:t>
                  </w:r>
                </w:p>
              </w:tc>
              <w:tc>
                <w:tcPr>
                  <w:tcW w:w="937" w:type="pct"/>
                  <w:vAlign w:val="center"/>
                </w:tcPr>
                <w:p>
                  <w:pPr>
                    <w:snapToGrid w:val="0"/>
                    <w:spacing w:line="240" w:lineRule="exact"/>
                    <w:jc w:val="center"/>
                    <w:rPr>
                      <w:szCs w:val="21"/>
                    </w:rPr>
                  </w:pPr>
                  <w:r>
                    <w:rPr>
                      <w:szCs w:val="21"/>
                    </w:rPr>
                    <w:t>危险废物</w:t>
                  </w:r>
                </w:p>
              </w:tc>
              <w:tc>
                <w:tcPr>
                  <w:tcW w:w="437" w:type="pct"/>
                  <w:vAlign w:val="center"/>
                </w:tcPr>
                <w:p>
                  <w:pPr>
                    <w:snapToGrid w:val="0"/>
                    <w:spacing w:line="240" w:lineRule="exact"/>
                    <w:jc w:val="center"/>
                    <w:rPr>
                      <w:szCs w:val="21"/>
                    </w:rPr>
                  </w:pPr>
                  <w:r>
                    <w:rPr>
                      <w:szCs w:val="21"/>
                    </w:rPr>
                    <w:t>HW</w:t>
                  </w:r>
                </w:p>
                <w:p>
                  <w:pPr>
                    <w:snapToGrid w:val="0"/>
                    <w:spacing w:line="240" w:lineRule="exact"/>
                    <w:jc w:val="center"/>
                    <w:rPr>
                      <w:szCs w:val="21"/>
                    </w:rPr>
                  </w:pPr>
                  <w:r>
                    <w:rPr>
                      <w:szCs w:val="21"/>
                    </w:rPr>
                    <w:t>08</w:t>
                  </w:r>
                </w:p>
              </w:tc>
              <w:tc>
                <w:tcPr>
                  <w:tcW w:w="462" w:type="pct"/>
                  <w:vAlign w:val="center"/>
                </w:tcPr>
                <w:p>
                  <w:pPr>
                    <w:snapToGrid w:val="0"/>
                    <w:spacing w:line="240" w:lineRule="exact"/>
                    <w:jc w:val="center"/>
                    <w:rPr>
                      <w:szCs w:val="21"/>
                    </w:rPr>
                  </w:pPr>
                  <w:r>
                    <w:rPr>
                      <w:szCs w:val="21"/>
                    </w:rPr>
                    <w:t>900-249-08</w:t>
                  </w:r>
                </w:p>
              </w:tc>
              <w:tc>
                <w:tcPr>
                  <w:tcW w:w="523" w:type="pct"/>
                  <w:vAlign w:val="center"/>
                </w:tcPr>
                <w:p>
                  <w:pPr>
                    <w:snapToGrid w:val="0"/>
                    <w:spacing w:line="240" w:lineRule="exact"/>
                    <w:ind w:left="-105" w:leftChars="-50" w:right="-105" w:rightChars="-50"/>
                    <w:jc w:val="center"/>
                    <w:rPr>
                      <w:szCs w:val="21"/>
                    </w:rPr>
                  </w:pPr>
                  <w:r>
                    <w:rPr>
                      <w:szCs w:val="21"/>
                    </w:rPr>
                    <w:t>危废箱</w:t>
                  </w:r>
                </w:p>
              </w:tc>
              <w:tc>
                <w:tcPr>
                  <w:tcW w:w="566" w:type="pct"/>
                  <w:vMerge w:val="restart"/>
                  <w:vAlign w:val="center"/>
                </w:tcPr>
                <w:p>
                  <w:pPr>
                    <w:snapToGrid w:val="0"/>
                    <w:spacing w:line="240" w:lineRule="exact"/>
                    <w:ind w:left="-105" w:leftChars="-50" w:right="-105" w:rightChars="-50"/>
                    <w:jc w:val="center"/>
                    <w:rPr>
                      <w:szCs w:val="21"/>
                    </w:rPr>
                  </w:pPr>
                  <w:r>
                    <w:rPr>
                      <w:snapToGrid w:val="0"/>
                      <w:kern w:val="0"/>
                      <w:szCs w:val="21"/>
                    </w:rPr>
                    <w:t>交由有资质单位处置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pct"/>
                  <w:vAlign w:val="center"/>
                </w:tcPr>
                <w:p>
                  <w:pPr>
                    <w:snapToGrid w:val="0"/>
                    <w:spacing w:line="240" w:lineRule="exact"/>
                    <w:jc w:val="center"/>
                    <w:rPr>
                      <w:szCs w:val="21"/>
                    </w:rPr>
                  </w:pPr>
                  <w:r>
                    <w:rPr>
                      <w:szCs w:val="21"/>
                    </w:rPr>
                    <w:t>废机油</w:t>
                  </w:r>
                </w:p>
              </w:tc>
              <w:tc>
                <w:tcPr>
                  <w:tcW w:w="638" w:type="pct"/>
                  <w:vAlign w:val="center"/>
                </w:tcPr>
                <w:p>
                  <w:pPr>
                    <w:snapToGrid w:val="0"/>
                    <w:spacing w:line="240" w:lineRule="exact"/>
                    <w:jc w:val="center"/>
                    <w:rPr>
                      <w:szCs w:val="21"/>
                    </w:rPr>
                  </w:pPr>
                  <w:r>
                    <w:rPr>
                      <w:szCs w:val="21"/>
                    </w:rPr>
                    <w:t>设备维修</w:t>
                  </w:r>
                </w:p>
              </w:tc>
              <w:tc>
                <w:tcPr>
                  <w:tcW w:w="617" w:type="pct"/>
                  <w:vAlign w:val="center"/>
                </w:tcPr>
                <w:p>
                  <w:pPr>
                    <w:snapToGrid w:val="0"/>
                    <w:spacing w:line="240" w:lineRule="exact"/>
                    <w:jc w:val="center"/>
                    <w:rPr>
                      <w:szCs w:val="21"/>
                    </w:rPr>
                  </w:pPr>
                  <w:r>
                    <w:rPr>
                      <w:szCs w:val="21"/>
                    </w:rPr>
                    <w:t>0.15</w:t>
                  </w:r>
                </w:p>
              </w:tc>
              <w:tc>
                <w:tcPr>
                  <w:tcW w:w="937" w:type="pct"/>
                  <w:vAlign w:val="center"/>
                </w:tcPr>
                <w:p>
                  <w:pPr>
                    <w:snapToGrid w:val="0"/>
                    <w:spacing w:line="240" w:lineRule="exact"/>
                    <w:jc w:val="center"/>
                    <w:rPr>
                      <w:szCs w:val="21"/>
                    </w:rPr>
                  </w:pPr>
                  <w:r>
                    <w:rPr>
                      <w:szCs w:val="21"/>
                    </w:rPr>
                    <w:t>危险废物</w:t>
                  </w:r>
                </w:p>
              </w:tc>
              <w:tc>
                <w:tcPr>
                  <w:tcW w:w="437" w:type="pct"/>
                  <w:vAlign w:val="center"/>
                </w:tcPr>
                <w:p>
                  <w:pPr>
                    <w:snapToGrid w:val="0"/>
                    <w:spacing w:line="240" w:lineRule="exact"/>
                    <w:jc w:val="center"/>
                    <w:rPr>
                      <w:szCs w:val="21"/>
                    </w:rPr>
                  </w:pPr>
                  <w:r>
                    <w:rPr>
                      <w:szCs w:val="21"/>
                    </w:rPr>
                    <w:t>HW</w:t>
                  </w:r>
                </w:p>
                <w:p>
                  <w:pPr>
                    <w:snapToGrid w:val="0"/>
                    <w:spacing w:line="240" w:lineRule="exact"/>
                    <w:jc w:val="center"/>
                    <w:rPr>
                      <w:szCs w:val="21"/>
                    </w:rPr>
                  </w:pPr>
                  <w:r>
                    <w:rPr>
                      <w:szCs w:val="21"/>
                    </w:rPr>
                    <w:t>08</w:t>
                  </w:r>
                </w:p>
              </w:tc>
              <w:tc>
                <w:tcPr>
                  <w:tcW w:w="462" w:type="pct"/>
                  <w:vAlign w:val="center"/>
                </w:tcPr>
                <w:p>
                  <w:pPr>
                    <w:snapToGrid w:val="0"/>
                    <w:spacing w:line="240" w:lineRule="exact"/>
                    <w:jc w:val="center"/>
                    <w:rPr>
                      <w:szCs w:val="21"/>
                    </w:rPr>
                  </w:pPr>
                  <w:r>
                    <w:rPr>
                      <w:szCs w:val="21"/>
                    </w:rPr>
                    <w:t>900-249-08</w:t>
                  </w:r>
                </w:p>
              </w:tc>
              <w:tc>
                <w:tcPr>
                  <w:tcW w:w="523" w:type="pct"/>
                  <w:vAlign w:val="center"/>
                </w:tcPr>
                <w:p>
                  <w:pPr>
                    <w:snapToGrid w:val="0"/>
                    <w:spacing w:line="240" w:lineRule="exact"/>
                    <w:ind w:left="-105" w:leftChars="-50" w:right="-105" w:rightChars="-50"/>
                    <w:jc w:val="center"/>
                    <w:rPr>
                      <w:szCs w:val="21"/>
                    </w:rPr>
                  </w:pPr>
                  <w:r>
                    <w:rPr>
                      <w:szCs w:val="21"/>
                    </w:rPr>
                    <w:t>危废箱</w:t>
                  </w:r>
                </w:p>
              </w:tc>
              <w:tc>
                <w:tcPr>
                  <w:tcW w:w="566" w:type="pct"/>
                  <w:vMerge w:val="continue"/>
                  <w:vAlign w:val="center"/>
                </w:tcPr>
                <w:p>
                  <w:pPr>
                    <w:snapToGrid w:val="0"/>
                    <w:spacing w:line="240" w:lineRule="exact"/>
                    <w:ind w:left="-105" w:leftChars="-50" w:right="-105" w:rightChars="-50"/>
                    <w:jc w:val="center"/>
                    <w:rPr>
                      <w:szCs w:val="21"/>
                    </w:rPr>
                  </w:pPr>
                </w:p>
              </w:tc>
            </w:tr>
          </w:tbl>
          <w:p>
            <w:pPr>
              <w:spacing w:before="120" w:beforeLines="50" w:line="360" w:lineRule="auto"/>
              <w:ind w:firstLine="480" w:firstLineChars="200"/>
              <w:rPr>
                <w:sz w:val="24"/>
              </w:rPr>
            </w:pPr>
            <w:r>
              <w:rPr>
                <w:sz w:val="24"/>
              </w:rPr>
              <w:t>（2）环境管理要求</w:t>
            </w:r>
          </w:p>
          <w:p>
            <w:pPr>
              <w:widowControl/>
              <w:spacing w:line="360" w:lineRule="auto"/>
              <w:ind w:firstLine="480" w:firstLineChars="200"/>
              <w:rPr>
                <w:sz w:val="24"/>
              </w:rPr>
            </w:pPr>
            <w:r>
              <w:rPr>
                <w:sz w:val="24"/>
              </w:rPr>
              <w:t>厂区运营期间设备维护产生的废机油、含油抹布手套均属于危险废物。项目危废采用专用容器收集，存放于</w:t>
            </w:r>
            <w:r>
              <w:rPr>
                <w:rFonts w:hint="eastAsia"/>
                <w:sz w:val="24"/>
              </w:rPr>
              <w:t>危</w:t>
            </w:r>
            <w:r>
              <w:rPr>
                <w:sz w:val="24"/>
              </w:rPr>
              <w:t>废暂存箱内，定期交由具有危废处置资质的单位收集处置。</w:t>
            </w:r>
          </w:p>
          <w:p>
            <w:pPr>
              <w:widowControl/>
              <w:spacing w:line="360" w:lineRule="auto"/>
              <w:ind w:firstLine="480" w:firstLineChars="200"/>
              <w:rPr>
                <w:sz w:val="24"/>
              </w:rPr>
            </w:pPr>
            <w:r>
              <w:rPr>
                <w:sz w:val="24"/>
              </w:rPr>
              <w:t>根据《危险废物贮存污染控制标准》（GB18597-2001）</w:t>
            </w:r>
            <w:r>
              <w:rPr>
                <w:sz w:val="24"/>
                <w:lang w:val="zh-CN"/>
              </w:rPr>
              <w:t>及其2013年修改清单</w:t>
            </w:r>
            <w:r>
              <w:rPr>
                <w:sz w:val="24"/>
              </w:rPr>
              <w:t>“6.3.12 总贮存量不超过300kg（L）的危险废物要放入符合标准的容器内，加上标签，容器放入坚固的柜或箱中，柜或箱应设多个直径不少于30 mm的排气孔。不相容危险废物要分别存放或存放在不渗透间隔分开的区域内，每个部分都应有防漏裙脚或储漏盘，防漏裙脚或储漏盘的材料要与危险废物相容。”</w:t>
            </w:r>
            <w:r>
              <w:rPr>
                <w:sz w:val="24"/>
                <w:lang w:val="zh-CN"/>
              </w:rPr>
              <w:t>相关要求</w:t>
            </w:r>
            <w:r>
              <w:rPr>
                <w:sz w:val="24"/>
              </w:rPr>
              <w:t>，应设置1个危废暂存箱。项目危废经收集后，采用专用容器暂存，并应进行有效的台账管理，明确标识，</w:t>
            </w:r>
            <w:r>
              <w:rPr>
                <w:sz w:val="24"/>
                <w:lang w:val="zh-CN"/>
              </w:rPr>
              <w:t>同时，应尽快与有资质单位签订危废处置协议，做好危险废物的处置工作。</w:t>
            </w:r>
          </w:p>
          <w:p>
            <w:pPr>
              <w:wordWrap w:val="0"/>
              <w:spacing w:line="360" w:lineRule="auto"/>
              <w:ind w:firstLine="482"/>
              <w:rPr>
                <w:sz w:val="24"/>
              </w:rPr>
            </w:pPr>
            <w:r>
              <w:rPr>
                <w:sz w:val="24"/>
              </w:rPr>
              <w:t>综上所述，本项目固体废物处置满足《危险废物贮存污染控制标准》（GB18597-2001）及其修改单（环保部公告2013年第36号修订）和《一般工业固体废物贮存和填埋污染控制标准》（GB18599-2020）的要求，处置率达100%，对周围环境的影响较小。</w:t>
            </w:r>
          </w:p>
          <w:p>
            <w:pPr>
              <w:spacing w:line="360" w:lineRule="auto"/>
              <w:rPr>
                <w:b/>
                <w:bCs/>
                <w:sz w:val="24"/>
              </w:rPr>
            </w:pPr>
            <w:r>
              <w:rPr>
                <w:b/>
                <w:bCs/>
                <w:sz w:val="24"/>
              </w:rPr>
              <w:t>4.2.5 地下水、土壤</w:t>
            </w:r>
            <w:r>
              <w:rPr>
                <w:rFonts w:hint="eastAsia"/>
                <w:b/>
                <w:bCs/>
                <w:sz w:val="24"/>
              </w:rPr>
              <w:t>环境影响</w:t>
            </w:r>
          </w:p>
          <w:p>
            <w:pPr>
              <w:spacing w:line="360" w:lineRule="auto"/>
              <w:ind w:firstLine="480" w:firstLineChars="200"/>
              <w:rPr>
                <w:b/>
                <w:bCs/>
                <w:sz w:val="24"/>
              </w:rPr>
            </w:pPr>
            <w:r>
              <w:rPr>
                <w:sz w:val="24"/>
              </w:rPr>
              <w:t>（1）污染源、污染物类型和污染途径</w:t>
            </w:r>
          </w:p>
          <w:p>
            <w:pPr>
              <w:widowControl/>
              <w:spacing w:line="360" w:lineRule="auto"/>
              <w:ind w:firstLine="480" w:firstLineChars="200"/>
              <w:rPr>
                <w:sz w:val="24"/>
              </w:rPr>
            </w:pPr>
            <w:r>
              <w:rPr>
                <w:sz w:val="24"/>
              </w:rPr>
              <w:t>本项目可能对地下水、土壤造成影响的污染源主要为洗车装置、危废暂存箱、污水处理系统等生产或环保设施。污染物类型包括废水和固体废物，其中废水污染物主要为悬浮物，对地下水及土壤影响较小，固体废物对地下水、土壤造成不利影响的污染物主要为固废中含有的毒性/易燃性有毒有害物质，主要为废机油。</w:t>
            </w:r>
          </w:p>
          <w:p>
            <w:pPr>
              <w:widowControl/>
              <w:spacing w:line="360" w:lineRule="auto"/>
              <w:ind w:firstLine="480" w:firstLineChars="200"/>
              <w:jc w:val="left"/>
              <w:rPr>
                <w:sz w:val="24"/>
              </w:rPr>
            </w:pPr>
            <w:r>
              <w:rPr>
                <w:sz w:val="24"/>
              </w:rPr>
              <w:t>在构筑物防渗措施不到位，危废暂存箱发生渗漏时，可能对区域地下水水质造成影响；洗车装置及污水处理设施由于池体破裂、构筑物故障、管路泄漏等事故而导致废水发生跑、冒、滴、漏等现象时，若地面防渗不当，废水中的污染物会进入土壤及地下水环境造成环境影响。</w:t>
            </w:r>
          </w:p>
          <w:p>
            <w:pPr>
              <w:spacing w:line="360" w:lineRule="auto"/>
              <w:ind w:firstLine="480" w:firstLineChars="200"/>
              <w:rPr>
                <w:sz w:val="24"/>
              </w:rPr>
            </w:pPr>
            <w:r>
              <w:rPr>
                <w:sz w:val="24"/>
              </w:rPr>
              <w:t>（2）分区防控措施</w:t>
            </w:r>
          </w:p>
          <w:p>
            <w:pPr>
              <w:spacing w:line="360" w:lineRule="auto"/>
              <w:ind w:firstLine="480" w:firstLineChars="200"/>
              <w:jc w:val="left"/>
              <w:rPr>
                <w:sz w:val="24"/>
              </w:rPr>
            </w:pPr>
            <w:r>
              <w:rPr>
                <w:rFonts w:hint="eastAsia" w:ascii="宋体" w:hAnsi="宋体" w:cs="宋体"/>
                <w:sz w:val="24"/>
              </w:rPr>
              <w:t>①</w:t>
            </w:r>
            <w:r>
              <w:rPr>
                <w:sz w:val="24"/>
              </w:rPr>
              <w:t>源头控制</w:t>
            </w:r>
          </w:p>
          <w:p>
            <w:pPr>
              <w:spacing w:line="360" w:lineRule="auto"/>
              <w:ind w:firstLine="480" w:firstLineChars="200"/>
              <w:rPr>
                <w:sz w:val="24"/>
              </w:rPr>
            </w:pPr>
            <w:r>
              <w:rPr>
                <w:sz w:val="24"/>
              </w:rPr>
              <w:t>主要在工艺、管道、设备、危险化学品、污水储存及处理构筑物采取相应措施，将污染物泄漏、渗漏污染地下水的环境风险降到最低程度。危废暂存箱进行防渗；建立巡检制度，定期对危废暂存箱、洗车装置及污水处理设施构筑物进行检查，确保设施设备状况良好。</w:t>
            </w:r>
          </w:p>
          <w:p>
            <w:pPr>
              <w:spacing w:line="360" w:lineRule="auto"/>
              <w:ind w:firstLine="480" w:firstLineChars="200"/>
              <w:jc w:val="left"/>
              <w:rPr>
                <w:sz w:val="24"/>
              </w:rPr>
            </w:pPr>
            <w:r>
              <w:rPr>
                <w:rFonts w:hint="eastAsia" w:ascii="宋体" w:hAnsi="宋体" w:cs="宋体"/>
                <w:sz w:val="24"/>
              </w:rPr>
              <w:t>②</w:t>
            </w:r>
            <w:r>
              <w:rPr>
                <w:sz w:val="24"/>
              </w:rPr>
              <w:t>分区防控</w:t>
            </w:r>
          </w:p>
          <w:p>
            <w:pPr>
              <w:spacing w:line="360" w:lineRule="auto"/>
              <w:ind w:firstLine="480" w:firstLineChars="200"/>
              <w:jc w:val="left"/>
              <w:rPr>
                <w:sz w:val="24"/>
              </w:rPr>
            </w:pPr>
            <w:r>
              <w:rPr>
                <w:sz w:val="24"/>
              </w:rPr>
              <w:t>根据《环境影响评价技术导则 地下水环境》（HJ610-2016）中分区防渗的要求，项目区应采取了相应的防渗措施。厂区污染防治分区见表4-10。</w:t>
            </w:r>
          </w:p>
          <w:p>
            <w:pPr>
              <w:keepNext/>
              <w:keepLines/>
              <w:spacing w:line="360" w:lineRule="auto"/>
              <w:jc w:val="center"/>
              <w:outlineLvl w:val="2"/>
              <w:rPr>
                <w:b/>
                <w:bCs/>
                <w:szCs w:val="21"/>
              </w:rPr>
            </w:pPr>
            <w:r>
              <w:rPr>
                <w:b/>
                <w:bCs/>
                <w:szCs w:val="21"/>
              </w:rPr>
              <w:t>表4-10   项目防渗分区及相关防渗措施</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733"/>
              <w:gridCol w:w="5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75" w:type="pct"/>
                  <w:vAlign w:val="center"/>
                </w:tcPr>
                <w:p>
                  <w:pPr>
                    <w:snapToGrid w:val="0"/>
                    <w:jc w:val="center"/>
                    <w:rPr>
                      <w:szCs w:val="21"/>
                    </w:rPr>
                  </w:pPr>
                  <w:r>
                    <w:rPr>
                      <w:szCs w:val="21"/>
                    </w:rPr>
                    <w:t>防渗级别</w:t>
                  </w:r>
                </w:p>
              </w:tc>
              <w:tc>
                <w:tcPr>
                  <w:tcW w:w="1052" w:type="pct"/>
                  <w:vAlign w:val="center"/>
                </w:tcPr>
                <w:p>
                  <w:pPr>
                    <w:snapToGrid w:val="0"/>
                    <w:jc w:val="center"/>
                    <w:rPr>
                      <w:szCs w:val="21"/>
                    </w:rPr>
                  </w:pPr>
                  <w:r>
                    <w:rPr>
                      <w:szCs w:val="21"/>
                    </w:rPr>
                    <w:t>防渗分区</w:t>
                  </w:r>
                </w:p>
              </w:tc>
              <w:tc>
                <w:tcPr>
                  <w:tcW w:w="3172" w:type="pct"/>
                  <w:vAlign w:val="center"/>
                </w:tcPr>
                <w:p>
                  <w:pPr>
                    <w:snapToGrid w:val="0"/>
                    <w:jc w:val="center"/>
                    <w:rPr>
                      <w:szCs w:val="21"/>
                    </w:rPr>
                  </w:pPr>
                  <w:r>
                    <w:rPr>
                      <w:szCs w:val="21"/>
                    </w:rPr>
                    <w:t>防渗措施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75" w:type="pct"/>
                  <w:vMerge w:val="restart"/>
                  <w:vAlign w:val="center"/>
                </w:tcPr>
                <w:p>
                  <w:pPr>
                    <w:snapToGrid w:val="0"/>
                    <w:jc w:val="center"/>
                    <w:rPr>
                      <w:szCs w:val="21"/>
                    </w:rPr>
                  </w:pPr>
                  <w:r>
                    <w:rPr>
                      <w:szCs w:val="21"/>
                    </w:rPr>
                    <w:t>重点防渗区</w:t>
                  </w:r>
                </w:p>
              </w:tc>
              <w:tc>
                <w:tcPr>
                  <w:tcW w:w="1052" w:type="pct"/>
                  <w:vAlign w:val="center"/>
                </w:tcPr>
                <w:p>
                  <w:pPr>
                    <w:snapToGrid w:val="0"/>
                    <w:jc w:val="center"/>
                    <w:rPr>
                      <w:szCs w:val="21"/>
                    </w:rPr>
                  </w:pPr>
                  <w:r>
                    <w:rPr>
                      <w:szCs w:val="21"/>
                    </w:rPr>
                    <w:t>危废暂存箱</w:t>
                  </w:r>
                </w:p>
              </w:tc>
              <w:tc>
                <w:tcPr>
                  <w:tcW w:w="3172" w:type="pct"/>
                  <w:vAlign w:val="center"/>
                </w:tcPr>
                <w:p>
                  <w:pPr>
                    <w:snapToGrid w:val="0"/>
                    <w:jc w:val="left"/>
                    <w:rPr>
                      <w:szCs w:val="21"/>
                    </w:rPr>
                  </w:pPr>
                  <w:r>
                    <w:rPr>
                      <w:szCs w:val="21"/>
                    </w:rPr>
                    <w:t>产生的危险废物进行分类后，存装在相应的容器中，不相容危险废物要分别存放或存放在不渗透间隔分开的区域内，每个部分都应有防漏裙脚或储漏盘，防漏裙脚或储漏盘的材料要与危险废物相容。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75" w:type="pct"/>
                  <w:vMerge w:val="continue"/>
                  <w:vAlign w:val="center"/>
                </w:tcPr>
                <w:p>
                  <w:pPr>
                    <w:snapToGrid w:val="0"/>
                    <w:jc w:val="center"/>
                    <w:rPr>
                      <w:szCs w:val="21"/>
                    </w:rPr>
                  </w:pPr>
                </w:p>
              </w:tc>
              <w:tc>
                <w:tcPr>
                  <w:tcW w:w="4224" w:type="pct"/>
                  <w:gridSpan w:val="2"/>
                  <w:vAlign w:val="center"/>
                </w:tcPr>
                <w:p>
                  <w:pPr>
                    <w:snapToGrid w:val="0"/>
                    <w:jc w:val="center"/>
                    <w:rPr>
                      <w:szCs w:val="21"/>
                    </w:rPr>
                  </w:pPr>
                  <w:r>
                    <w:rPr>
                      <w:szCs w:val="21"/>
                    </w:rPr>
                    <w:t>重点防渗区：等效黏土防渗层Mb≥6.0m，渗透系数K≤1×10</w:t>
                  </w:r>
                  <w:r>
                    <w:rPr>
                      <w:szCs w:val="21"/>
                      <w:vertAlign w:val="superscript"/>
                    </w:rPr>
                    <w:t>-10</w:t>
                  </w:r>
                  <w:r>
                    <w:rPr>
                      <w:szCs w:val="21"/>
                    </w:rPr>
                    <w:t>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pct"/>
                  <w:vAlign w:val="center"/>
                </w:tcPr>
                <w:p>
                  <w:pPr>
                    <w:snapToGrid w:val="0"/>
                    <w:jc w:val="center"/>
                    <w:rPr>
                      <w:szCs w:val="21"/>
                    </w:rPr>
                  </w:pPr>
                  <w:r>
                    <w:rPr>
                      <w:szCs w:val="21"/>
                    </w:rPr>
                    <w:t>简单防渗区</w:t>
                  </w:r>
                </w:p>
              </w:tc>
              <w:tc>
                <w:tcPr>
                  <w:tcW w:w="1052" w:type="pct"/>
                  <w:vAlign w:val="center"/>
                </w:tcPr>
                <w:p>
                  <w:pPr>
                    <w:snapToGrid w:val="0"/>
                    <w:jc w:val="center"/>
                    <w:rPr>
                      <w:szCs w:val="21"/>
                    </w:rPr>
                  </w:pPr>
                  <w:r>
                    <w:rPr>
                      <w:szCs w:val="21"/>
                    </w:rPr>
                    <w:t>洗车隔油沉淀池、化粪池、污水处理系统</w:t>
                  </w:r>
                </w:p>
              </w:tc>
              <w:tc>
                <w:tcPr>
                  <w:tcW w:w="3172" w:type="pct"/>
                  <w:vAlign w:val="center"/>
                </w:tcPr>
                <w:p>
                  <w:pPr>
                    <w:snapToGrid w:val="0"/>
                    <w:jc w:val="center"/>
                    <w:rPr>
                      <w:szCs w:val="21"/>
                    </w:rPr>
                  </w:pPr>
                  <w:r>
                    <w:rPr>
                      <w:szCs w:val="21"/>
                    </w:rPr>
                    <w:t>等效黏土防渗层Mb≥1.5m，渗透系数K≤1×10</w:t>
                  </w:r>
                  <w:r>
                    <w:rPr>
                      <w:szCs w:val="21"/>
                      <w:vertAlign w:val="superscript"/>
                    </w:rPr>
                    <w:t>-7</w:t>
                  </w:r>
                  <w:r>
                    <w:rPr>
                      <w:szCs w:val="21"/>
                    </w:rPr>
                    <w:t>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5" w:type="pct"/>
                  <w:vAlign w:val="center"/>
                </w:tcPr>
                <w:p>
                  <w:pPr>
                    <w:snapToGrid w:val="0"/>
                    <w:jc w:val="center"/>
                    <w:rPr>
                      <w:szCs w:val="21"/>
                    </w:rPr>
                  </w:pPr>
                  <w:r>
                    <w:rPr>
                      <w:szCs w:val="21"/>
                    </w:rPr>
                    <w:t>一般防渗区</w:t>
                  </w:r>
                </w:p>
              </w:tc>
              <w:tc>
                <w:tcPr>
                  <w:tcW w:w="1052" w:type="pct"/>
                  <w:vAlign w:val="center"/>
                </w:tcPr>
                <w:p>
                  <w:pPr>
                    <w:snapToGrid w:val="0"/>
                    <w:jc w:val="center"/>
                    <w:rPr>
                      <w:szCs w:val="21"/>
                    </w:rPr>
                  </w:pPr>
                  <w:r>
                    <w:rPr>
                      <w:szCs w:val="21"/>
                    </w:rPr>
                    <w:t>办公区</w:t>
                  </w:r>
                </w:p>
              </w:tc>
              <w:tc>
                <w:tcPr>
                  <w:tcW w:w="3172" w:type="pct"/>
                  <w:vAlign w:val="center"/>
                </w:tcPr>
                <w:p>
                  <w:pPr>
                    <w:snapToGrid w:val="0"/>
                    <w:jc w:val="center"/>
                    <w:rPr>
                      <w:szCs w:val="21"/>
                    </w:rPr>
                  </w:pPr>
                  <w:r>
                    <w:rPr>
                      <w:szCs w:val="21"/>
                    </w:rPr>
                    <w:t>/</w:t>
                  </w:r>
                </w:p>
              </w:tc>
            </w:tr>
          </w:tbl>
          <w:p>
            <w:pPr>
              <w:widowControl/>
              <w:spacing w:line="360" w:lineRule="auto"/>
              <w:ind w:firstLine="480" w:firstLineChars="200"/>
              <w:jc w:val="left"/>
              <w:rPr>
                <w:sz w:val="24"/>
              </w:rPr>
            </w:pPr>
            <w:r>
              <w:rPr>
                <w:sz w:val="24"/>
              </w:rPr>
              <w:t>（3）地下水、土壤环境影响分析</w:t>
            </w:r>
          </w:p>
          <w:p>
            <w:pPr>
              <w:widowControl/>
              <w:spacing w:line="360" w:lineRule="auto"/>
              <w:ind w:firstLine="480" w:firstLineChars="200"/>
              <w:jc w:val="left"/>
              <w:rPr>
                <w:sz w:val="24"/>
              </w:rPr>
            </w:pPr>
            <w:r>
              <w:rPr>
                <w:sz w:val="24"/>
              </w:rPr>
              <w:t>为防止建设项目运行对地下水造成污染，从原料和产品的储存、装卸、运输、生产过程等全过程控制各种有毒有害原辅材料、中间材料、产品泄漏（含跑、冒、滴、漏）；同时针对厂区的地质环境、水文地质条件，对有害物质可泄漏到的区域采取防渗措施，阻止其渗入地下水中。即从源头到末端全方位采取控制措施，防止建设项目运行对地下水造成污染。</w:t>
            </w:r>
          </w:p>
          <w:p>
            <w:pPr>
              <w:widowControl/>
              <w:spacing w:line="360" w:lineRule="auto"/>
              <w:ind w:firstLine="480" w:firstLineChars="200"/>
              <w:jc w:val="left"/>
              <w:rPr>
                <w:sz w:val="24"/>
              </w:rPr>
            </w:pPr>
            <w:r>
              <w:rPr>
                <w:sz w:val="24"/>
              </w:rPr>
              <w:t>本项目应采用主动防渗措施与被动防渗措施相结合方法，防止地下水受到污染。主要建议方法包括：</w:t>
            </w:r>
          </w:p>
          <w:p>
            <w:pPr>
              <w:widowControl/>
              <w:spacing w:line="360" w:lineRule="auto"/>
              <w:ind w:firstLine="480" w:firstLineChars="200"/>
              <w:jc w:val="left"/>
              <w:rPr>
                <w:sz w:val="24"/>
              </w:rPr>
            </w:pPr>
            <w:r>
              <w:rPr>
                <w:rFonts w:hint="eastAsia" w:ascii="宋体" w:hAnsi="宋体" w:cs="宋体"/>
                <w:sz w:val="24"/>
              </w:rPr>
              <w:t>①</w:t>
            </w:r>
            <w:r>
              <w:rPr>
                <w:sz w:val="24"/>
              </w:rPr>
              <w:t>主动防渗：即源头控制措施，主要包括在工艺、管道、设备、污水储存及处理构筑物采取相应措施，防止和降低污染物跑、冒、滴、漏，将污染物泄漏事故降到最低程度。</w:t>
            </w:r>
          </w:p>
          <w:p>
            <w:pPr>
              <w:widowControl/>
              <w:spacing w:line="360" w:lineRule="auto"/>
              <w:ind w:firstLine="480" w:firstLineChars="200"/>
              <w:jc w:val="left"/>
              <w:rPr>
                <w:sz w:val="24"/>
              </w:rPr>
            </w:pPr>
            <w:r>
              <w:rPr>
                <w:rFonts w:hint="eastAsia" w:ascii="宋体" w:hAnsi="宋体" w:cs="宋体"/>
                <w:sz w:val="24"/>
              </w:rPr>
              <w:t>②</w:t>
            </w:r>
            <w:r>
              <w:rPr>
                <w:sz w:val="24"/>
              </w:rPr>
              <w:t>被动防渗：即末端控制措施，主要包括厂内污染区地面的防渗措施和泄漏渗漏污染物收集措施，即在污染区地面进行防渗处理，防止洒落地面的污染物渗入地下。对埋管的管沟进行防腐防渗处理，比如：铺设有效的防渗地膜等。</w:t>
            </w:r>
          </w:p>
          <w:p>
            <w:pPr>
              <w:widowControl/>
              <w:spacing w:line="360" w:lineRule="auto"/>
              <w:ind w:firstLine="480" w:firstLineChars="200"/>
              <w:jc w:val="left"/>
              <w:rPr>
                <w:sz w:val="24"/>
              </w:rPr>
            </w:pPr>
            <w:r>
              <w:rPr>
                <w:sz w:val="24"/>
              </w:rPr>
              <w:t>项目无生产废水和生活污水排放，同时危险废物产生量较少，渗漏后对项目场地的影响范围和影响程度有限，厂区采取分区防渗措施基本可避免重点防渗区域危险物质渗漏，因此项目对地下水环境的影响较小。</w:t>
            </w:r>
          </w:p>
          <w:p>
            <w:pPr>
              <w:rPr>
                <w:highlight w:val="cyan"/>
              </w:rPr>
            </w:pPr>
          </w:p>
          <w:p>
            <w:pPr>
              <w:spacing w:line="360" w:lineRule="auto"/>
              <w:rPr>
                <w:b/>
                <w:bCs/>
                <w:sz w:val="24"/>
              </w:rPr>
            </w:pPr>
            <w:r>
              <w:rPr>
                <w:b/>
                <w:bCs/>
                <w:snapToGrid w:val="0"/>
                <w:sz w:val="24"/>
              </w:rPr>
              <w:t>6、</w:t>
            </w:r>
            <w:r>
              <w:rPr>
                <w:rFonts w:hint="eastAsia"/>
                <w:b/>
                <w:bCs/>
                <w:snapToGrid w:val="0"/>
                <w:sz w:val="24"/>
              </w:rPr>
              <w:t>环境</w:t>
            </w:r>
            <w:r>
              <w:rPr>
                <w:b/>
                <w:bCs/>
                <w:snapToGrid w:val="0"/>
                <w:sz w:val="24"/>
              </w:rPr>
              <w:t>风险</w:t>
            </w:r>
            <w:r>
              <w:rPr>
                <w:rFonts w:hint="eastAsia"/>
                <w:b/>
                <w:bCs/>
                <w:snapToGrid w:val="0"/>
                <w:sz w:val="24"/>
              </w:rPr>
              <w:t>分析</w:t>
            </w:r>
          </w:p>
          <w:p>
            <w:pPr>
              <w:spacing w:line="360" w:lineRule="auto"/>
              <w:ind w:firstLine="480" w:firstLineChars="200"/>
              <w:rPr>
                <w:sz w:val="24"/>
              </w:rPr>
            </w:pPr>
            <w:r>
              <w:rPr>
                <w:sz w:val="24"/>
              </w:rPr>
              <w:t>（1）危险物质和风险源分布情况</w:t>
            </w:r>
          </w:p>
          <w:p>
            <w:pPr>
              <w:spacing w:line="360" w:lineRule="auto"/>
              <w:ind w:firstLine="480" w:firstLineChars="200"/>
              <w:rPr>
                <w:sz w:val="24"/>
              </w:rPr>
            </w:pPr>
            <w:r>
              <w:rPr>
                <w:sz w:val="24"/>
              </w:rPr>
              <w:t>参考《建设项目环境风险评价技术导则》（HJ169-2018）中确定的突发环境事件风险物质，本项目涉及到的突发环境事件风险物质主要为机油及废机油等。</w:t>
            </w:r>
          </w:p>
          <w:p>
            <w:pPr>
              <w:widowControl/>
              <w:autoSpaceDE w:val="0"/>
              <w:autoSpaceDN w:val="0"/>
              <w:adjustRightInd w:val="0"/>
              <w:spacing w:line="360" w:lineRule="auto"/>
              <w:ind w:firstLine="480" w:firstLineChars="200"/>
              <w:rPr>
                <w:sz w:val="24"/>
              </w:rPr>
            </w:pPr>
            <w:r>
              <w:rPr>
                <w:sz w:val="24"/>
              </w:rPr>
              <w:t>（2）环境风险潜势</w:t>
            </w:r>
          </w:p>
          <w:p>
            <w:pPr>
              <w:widowControl/>
              <w:autoSpaceDE w:val="0"/>
              <w:autoSpaceDN w:val="0"/>
              <w:adjustRightInd w:val="0"/>
              <w:spacing w:line="360" w:lineRule="auto"/>
              <w:ind w:firstLine="480" w:firstLineChars="200"/>
              <w:rPr>
                <w:sz w:val="24"/>
              </w:rPr>
            </w:pPr>
            <w:r>
              <w:rPr>
                <w:sz w:val="24"/>
              </w:rPr>
              <w:t>项目主要风险源为机油</w:t>
            </w:r>
            <w:r>
              <w:rPr>
                <w:rFonts w:hint="eastAsia"/>
                <w:sz w:val="24"/>
              </w:rPr>
              <w:t>及废机油</w:t>
            </w:r>
            <w:r>
              <w:rPr>
                <w:sz w:val="24"/>
              </w:rPr>
              <w:t>。若有机油泄露会对环境造成污染。项目Q值确定见表4-11。</w:t>
            </w:r>
          </w:p>
          <w:p>
            <w:pPr>
              <w:pStyle w:val="66"/>
              <w:rPr>
                <w:bCs/>
                <w:kern w:val="2"/>
                <w:szCs w:val="21"/>
              </w:rPr>
            </w:pPr>
            <w:r>
              <w:rPr>
                <w:bCs/>
                <w:kern w:val="2"/>
                <w:szCs w:val="21"/>
              </w:rPr>
              <w:t>表4-11  Q值计算一览表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02"/>
              <w:gridCol w:w="2022"/>
              <w:gridCol w:w="2379"/>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6" w:type="pct"/>
                  <w:vAlign w:val="center"/>
                </w:tcPr>
                <w:p>
                  <w:pPr>
                    <w:pStyle w:val="68"/>
                    <w:rPr>
                      <w:szCs w:val="21"/>
                    </w:rPr>
                  </w:pPr>
                  <w:r>
                    <w:rPr>
                      <w:szCs w:val="21"/>
                    </w:rPr>
                    <w:t>危险物质名称</w:t>
                  </w:r>
                </w:p>
              </w:tc>
              <w:tc>
                <w:tcPr>
                  <w:tcW w:w="1227" w:type="pct"/>
                  <w:vAlign w:val="center"/>
                </w:tcPr>
                <w:p>
                  <w:pPr>
                    <w:pStyle w:val="68"/>
                    <w:rPr>
                      <w:szCs w:val="21"/>
                    </w:rPr>
                  </w:pPr>
                  <w:r>
                    <w:rPr>
                      <w:szCs w:val="21"/>
                    </w:rPr>
                    <w:t>临界量（t）</w:t>
                  </w:r>
                </w:p>
              </w:tc>
              <w:tc>
                <w:tcPr>
                  <w:tcW w:w="1443" w:type="pct"/>
                  <w:vAlign w:val="center"/>
                </w:tcPr>
                <w:p>
                  <w:pPr>
                    <w:pStyle w:val="68"/>
                    <w:rPr>
                      <w:szCs w:val="21"/>
                    </w:rPr>
                  </w:pPr>
                  <w:r>
                    <w:rPr>
                      <w:szCs w:val="21"/>
                    </w:rPr>
                    <w:t>项目厂区存在量（t）</w:t>
                  </w:r>
                </w:p>
              </w:tc>
              <w:tc>
                <w:tcPr>
                  <w:tcW w:w="1052" w:type="pct"/>
                  <w:vAlign w:val="center"/>
                </w:tcPr>
                <w:p>
                  <w:pPr>
                    <w:pStyle w:val="68"/>
                    <w:rPr>
                      <w:szCs w:val="21"/>
                    </w:rPr>
                  </w:pPr>
                  <w:r>
                    <w:rPr>
                      <w:szCs w:val="21"/>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6" w:type="pct"/>
                  <w:vAlign w:val="center"/>
                </w:tcPr>
                <w:p>
                  <w:pPr>
                    <w:pStyle w:val="68"/>
                    <w:rPr>
                      <w:szCs w:val="21"/>
                    </w:rPr>
                  </w:pPr>
                  <w:r>
                    <w:rPr>
                      <w:szCs w:val="21"/>
                    </w:rPr>
                    <w:t>机油</w:t>
                  </w:r>
                </w:p>
              </w:tc>
              <w:tc>
                <w:tcPr>
                  <w:tcW w:w="1227" w:type="pct"/>
                  <w:vAlign w:val="center"/>
                </w:tcPr>
                <w:p>
                  <w:pPr>
                    <w:pStyle w:val="68"/>
                    <w:rPr>
                      <w:szCs w:val="21"/>
                    </w:rPr>
                  </w:pPr>
                  <w:r>
                    <w:rPr>
                      <w:szCs w:val="21"/>
                    </w:rPr>
                    <w:t>2500</w:t>
                  </w:r>
                </w:p>
              </w:tc>
              <w:tc>
                <w:tcPr>
                  <w:tcW w:w="1443" w:type="pct"/>
                  <w:vAlign w:val="center"/>
                </w:tcPr>
                <w:p>
                  <w:pPr>
                    <w:pStyle w:val="68"/>
                    <w:rPr>
                      <w:szCs w:val="21"/>
                    </w:rPr>
                  </w:pPr>
                  <w:r>
                    <w:rPr>
                      <w:szCs w:val="21"/>
                    </w:rPr>
                    <w:t>0.2</w:t>
                  </w:r>
                </w:p>
              </w:tc>
              <w:tc>
                <w:tcPr>
                  <w:tcW w:w="1052" w:type="pct"/>
                  <w:vAlign w:val="center"/>
                </w:tcPr>
                <w:p>
                  <w:pPr>
                    <w:pStyle w:val="68"/>
                    <w:rPr>
                      <w:szCs w:val="21"/>
                    </w:rPr>
                  </w:pPr>
                  <w:r>
                    <w:rPr>
                      <w:szCs w:val="21"/>
                    </w:rPr>
                    <w:t>0.00008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6" w:type="pct"/>
                  <w:vAlign w:val="center"/>
                </w:tcPr>
                <w:p>
                  <w:pPr>
                    <w:pStyle w:val="68"/>
                    <w:rPr>
                      <w:szCs w:val="21"/>
                    </w:rPr>
                  </w:pPr>
                  <w:r>
                    <w:rPr>
                      <w:rStyle w:val="32"/>
                      <w:kern w:val="0"/>
                      <w:szCs w:val="21"/>
                    </w:rPr>
                    <w:t>废机油</w:t>
                  </w:r>
                </w:p>
              </w:tc>
              <w:tc>
                <w:tcPr>
                  <w:tcW w:w="1227" w:type="pct"/>
                  <w:vAlign w:val="center"/>
                </w:tcPr>
                <w:p>
                  <w:pPr>
                    <w:pStyle w:val="68"/>
                    <w:rPr>
                      <w:szCs w:val="21"/>
                    </w:rPr>
                  </w:pPr>
                  <w:r>
                    <w:rPr>
                      <w:szCs w:val="21"/>
                    </w:rPr>
                    <w:t>2500</w:t>
                  </w:r>
                </w:p>
              </w:tc>
              <w:tc>
                <w:tcPr>
                  <w:tcW w:w="1443" w:type="pct"/>
                  <w:vAlign w:val="center"/>
                </w:tcPr>
                <w:p>
                  <w:pPr>
                    <w:pStyle w:val="68"/>
                    <w:rPr>
                      <w:szCs w:val="21"/>
                    </w:rPr>
                  </w:pPr>
                  <w:r>
                    <w:rPr>
                      <w:szCs w:val="21"/>
                    </w:rPr>
                    <w:t>0.15</w:t>
                  </w:r>
                </w:p>
              </w:tc>
              <w:tc>
                <w:tcPr>
                  <w:tcW w:w="1052" w:type="pct"/>
                  <w:vAlign w:val="center"/>
                </w:tcPr>
                <w:p>
                  <w:pPr>
                    <w:pStyle w:val="68"/>
                    <w:rPr>
                      <w:szCs w:val="21"/>
                    </w:rPr>
                  </w:pPr>
                  <w:r>
                    <w:rPr>
                      <w:szCs w:val="21"/>
                    </w:rPr>
                    <w:t>0.00005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47" w:type="pct"/>
                  <w:gridSpan w:val="3"/>
                  <w:vAlign w:val="center"/>
                </w:tcPr>
                <w:p>
                  <w:pPr>
                    <w:pStyle w:val="68"/>
                    <w:rPr>
                      <w:szCs w:val="21"/>
                    </w:rPr>
                  </w:pPr>
                  <w:r>
                    <w:rPr>
                      <w:rStyle w:val="32"/>
                      <w:kern w:val="0"/>
                      <w:szCs w:val="21"/>
                    </w:rPr>
                    <w:t>合计</w:t>
                  </w:r>
                </w:p>
              </w:tc>
              <w:tc>
                <w:tcPr>
                  <w:tcW w:w="1052" w:type="pct"/>
                  <w:vAlign w:val="center"/>
                </w:tcPr>
                <w:p>
                  <w:pPr>
                    <w:pStyle w:val="68"/>
                    <w:rPr>
                      <w:szCs w:val="21"/>
                    </w:rPr>
                  </w:pPr>
                  <w:r>
                    <w:rPr>
                      <w:szCs w:val="21"/>
                    </w:rPr>
                    <w:t>0.00013</w:t>
                  </w:r>
                </w:p>
              </w:tc>
            </w:tr>
          </w:tbl>
          <w:p>
            <w:pPr>
              <w:widowControl/>
              <w:autoSpaceDE w:val="0"/>
              <w:autoSpaceDN w:val="0"/>
              <w:adjustRightInd w:val="0"/>
              <w:spacing w:line="360" w:lineRule="auto"/>
              <w:ind w:firstLine="480" w:firstLineChars="200"/>
              <w:rPr>
                <w:sz w:val="24"/>
              </w:rPr>
            </w:pPr>
            <w:r>
              <w:rPr>
                <w:sz w:val="24"/>
              </w:rPr>
              <w:t>由上表可知，本项目Q=0.00013＜1，故该项目环境风险潜势为I。</w:t>
            </w:r>
          </w:p>
          <w:p>
            <w:pPr>
              <w:widowControl/>
              <w:spacing w:line="360" w:lineRule="auto"/>
              <w:ind w:firstLine="480" w:firstLineChars="200"/>
              <w:rPr>
                <w:bCs/>
                <w:sz w:val="24"/>
              </w:rPr>
            </w:pPr>
            <w:r>
              <w:rPr>
                <w:bCs/>
                <w:kern w:val="21"/>
                <w:sz w:val="24"/>
              </w:rPr>
              <w:t>（3）危险物质和风险源影响途径</w:t>
            </w:r>
          </w:p>
          <w:p>
            <w:pPr>
              <w:snapToGrid w:val="0"/>
              <w:spacing w:line="360" w:lineRule="auto"/>
              <w:ind w:firstLine="480" w:firstLineChars="200"/>
              <w:rPr>
                <w:bCs/>
                <w:sz w:val="24"/>
              </w:rPr>
            </w:pPr>
            <w:r>
              <w:rPr>
                <w:bCs/>
                <w:sz w:val="24"/>
              </w:rPr>
              <w:t>在废机油贮存的过程中，若发生跑、冒、漏等情况，均可能导致环境风险发生。但由于本项目所产生的废机油量非常少，且危险废物放置于危废暂存箱内，发生风险事故的概率也很小。</w:t>
            </w:r>
          </w:p>
          <w:p>
            <w:pPr>
              <w:widowControl/>
              <w:spacing w:line="360" w:lineRule="auto"/>
              <w:ind w:firstLine="480" w:firstLineChars="200"/>
              <w:rPr>
                <w:bCs/>
                <w:sz w:val="24"/>
              </w:rPr>
            </w:pPr>
            <w:r>
              <w:rPr>
                <w:bCs/>
                <w:kern w:val="21"/>
                <w:sz w:val="24"/>
              </w:rPr>
              <w:t>（4）环境风险防范措施</w:t>
            </w:r>
          </w:p>
          <w:p>
            <w:pPr>
              <w:spacing w:line="360" w:lineRule="auto"/>
              <w:ind w:firstLine="480" w:firstLineChars="200"/>
              <w:rPr>
                <w:bCs/>
                <w:sz w:val="24"/>
              </w:rPr>
            </w:pPr>
            <w:r>
              <w:rPr>
                <w:rFonts w:hint="eastAsia" w:ascii="宋体" w:hAnsi="宋体" w:cs="宋体"/>
                <w:bCs/>
                <w:sz w:val="24"/>
              </w:rPr>
              <w:t>①</w:t>
            </w:r>
            <w:r>
              <w:rPr>
                <w:bCs/>
                <w:sz w:val="24"/>
              </w:rPr>
              <w:t>加强员工的思想、道德教育，提高员工的责任心和主观能动性，提高员工素质，增强安全意识。</w:t>
            </w:r>
          </w:p>
          <w:p>
            <w:pPr>
              <w:spacing w:line="360" w:lineRule="auto"/>
              <w:ind w:firstLine="480" w:firstLineChars="200"/>
              <w:rPr>
                <w:bCs/>
                <w:sz w:val="24"/>
              </w:rPr>
            </w:pPr>
            <w:r>
              <w:rPr>
                <w:rFonts w:hint="eastAsia" w:ascii="宋体" w:hAnsi="宋体" w:cs="宋体"/>
                <w:bCs/>
                <w:sz w:val="24"/>
              </w:rPr>
              <w:t>②</w:t>
            </w:r>
            <w:r>
              <w:rPr>
                <w:bCs/>
                <w:sz w:val="24"/>
              </w:rPr>
              <w:t>定期或不定期检查贮存容器等设备，防止跑、冒、漏现象出现。</w:t>
            </w:r>
          </w:p>
          <w:p>
            <w:pPr>
              <w:spacing w:line="360" w:lineRule="auto"/>
              <w:ind w:firstLine="480" w:firstLineChars="200"/>
              <w:rPr>
                <w:bCs/>
                <w:sz w:val="24"/>
              </w:rPr>
            </w:pPr>
            <w:r>
              <w:rPr>
                <w:rFonts w:hint="eastAsia" w:ascii="宋体" w:hAnsi="宋体" w:cs="宋体"/>
                <w:bCs/>
                <w:sz w:val="24"/>
              </w:rPr>
              <w:t>③</w:t>
            </w:r>
            <w:r>
              <w:rPr>
                <w:bCs/>
                <w:sz w:val="24"/>
              </w:rPr>
              <w:t>发生突发情况，废机油发生泄漏时，因立刻采取措施，清扫收集破损泄露的废机油，控制废机油进入地下水和地表水。</w:t>
            </w:r>
          </w:p>
          <w:p>
            <w:pPr>
              <w:spacing w:line="360" w:lineRule="auto"/>
              <w:ind w:firstLine="480" w:firstLineChars="200"/>
              <w:rPr>
                <w:bCs/>
                <w:sz w:val="24"/>
                <w:lang w:val="zh-CN"/>
              </w:rPr>
            </w:pPr>
            <w:r>
              <w:rPr>
                <w:bCs/>
                <w:sz w:val="24"/>
              </w:rPr>
              <w:t>项目在</w:t>
            </w:r>
            <w:r>
              <w:rPr>
                <w:bCs/>
                <w:sz w:val="24"/>
                <w:lang w:val="zh-CN"/>
              </w:rPr>
              <w:t>采取有效可行的环境风险管理措施、制定操作性强的应急预案并定期演练的前提下，项目风险防范措施有效，环境风险处于可接受水平。</w:t>
            </w:r>
          </w:p>
          <w:p>
            <w:pPr>
              <w:spacing w:line="360" w:lineRule="auto"/>
              <w:rPr>
                <w:sz w:val="24"/>
                <w:highlight w:val="cyan"/>
              </w:rPr>
            </w:pPr>
          </w:p>
          <w:p>
            <w:pPr>
              <w:spacing w:line="360" w:lineRule="auto"/>
              <w:rPr>
                <w:sz w:val="24"/>
                <w:highlight w:val="cyan"/>
              </w:rPr>
            </w:pPr>
          </w:p>
          <w:p>
            <w:pPr>
              <w:spacing w:line="360" w:lineRule="auto"/>
              <w:rPr>
                <w:sz w:val="24"/>
                <w:highlight w:val="cyan"/>
              </w:rPr>
            </w:pPr>
          </w:p>
          <w:p>
            <w:pPr>
              <w:spacing w:line="360" w:lineRule="auto"/>
              <w:rPr>
                <w:sz w:val="24"/>
                <w:highlight w:val="cyan"/>
              </w:rPr>
            </w:pPr>
          </w:p>
          <w:p>
            <w:pPr>
              <w:pStyle w:val="44"/>
              <w:spacing w:after="600" w:afterLines="250"/>
              <w:rPr>
                <w:rFonts w:ascii="Times New Roman" w:cs="Times New Roman"/>
                <w:bCs/>
                <w:color w:val="auto"/>
                <w:spacing w:val="-10"/>
                <w:highlight w:val="cyan"/>
              </w:rPr>
            </w:pPr>
          </w:p>
          <w:p>
            <w:pPr>
              <w:pStyle w:val="46"/>
              <w:rPr>
                <w:highlight w:val="cyan"/>
              </w:rPr>
            </w:pPr>
          </w:p>
          <w:p>
            <w:pPr>
              <w:rPr>
                <w:highlight w:val="cyan"/>
              </w:rPr>
            </w:pPr>
          </w:p>
          <w:p>
            <w:pPr>
              <w:pStyle w:val="2"/>
              <w:rPr>
                <w:highlight w:val="cyan"/>
              </w:rPr>
            </w:pPr>
          </w:p>
          <w:p>
            <w:pPr>
              <w:rPr>
                <w:highlight w:val="cyan"/>
              </w:rPr>
            </w:pPr>
          </w:p>
          <w:p>
            <w:pPr>
              <w:pStyle w:val="2"/>
              <w:rPr>
                <w:highlight w:val="cyan"/>
              </w:rPr>
            </w:pPr>
          </w:p>
          <w:p>
            <w:pPr>
              <w:rPr>
                <w:highlight w:val="cyan"/>
              </w:rPr>
            </w:pPr>
          </w:p>
          <w:p>
            <w:pPr>
              <w:pStyle w:val="2"/>
              <w:rPr>
                <w:highlight w:val="cyan"/>
              </w:rPr>
            </w:pPr>
          </w:p>
          <w:p>
            <w:pPr>
              <w:rPr>
                <w:highlight w:val="cyan"/>
              </w:rPr>
            </w:pPr>
          </w:p>
          <w:p>
            <w:pPr>
              <w:pStyle w:val="2"/>
              <w:rPr>
                <w:highlight w:val="cyan"/>
              </w:rPr>
            </w:pPr>
          </w:p>
          <w:p>
            <w:pPr>
              <w:rPr>
                <w:highlight w:val="cyan"/>
              </w:rPr>
            </w:pPr>
          </w:p>
          <w:p>
            <w:pPr>
              <w:pStyle w:val="2"/>
              <w:rPr>
                <w:highlight w:val="cyan"/>
              </w:rPr>
            </w:pPr>
          </w:p>
          <w:p>
            <w:pPr>
              <w:rPr>
                <w:highlight w:val="cyan"/>
              </w:rPr>
            </w:pPr>
          </w:p>
          <w:p>
            <w:pPr>
              <w:pStyle w:val="2"/>
              <w:rPr>
                <w:highlight w:val="cyan"/>
              </w:rPr>
            </w:pPr>
          </w:p>
          <w:p>
            <w:pPr>
              <w:rPr>
                <w:highlight w:val="cyan"/>
              </w:rPr>
            </w:pPr>
          </w:p>
        </w:tc>
      </w:tr>
    </w:tbl>
    <w:p>
      <w:pPr>
        <w:adjustRightInd w:val="0"/>
        <w:snapToGrid w:val="0"/>
        <w:spacing w:line="360" w:lineRule="auto"/>
        <w:rPr>
          <w:b/>
          <w:kern w:val="0"/>
          <w:sz w:val="28"/>
          <w:szCs w:val="28"/>
          <w:highlight w:val="cyan"/>
        </w:rPr>
        <w:sectPr>
          <w:pgSz w:w="11907" w:h="16840"/>
          <w:pgMar w:top="1417" w:right="1417" w:bottom="1417" w:left="1417" w:header="851" w:footer="851" w:gutter="0"/>
          <w:cols w:space="720" w:num="1"/>
          <w:docGrid w:linePitch="312" w:charSpace="0"/>
        </w:sectPr>
      </w:pPr>
    </w:p>
    <w:p>
      <w:pPr>
        <w:pStyle w:val="21"/>
        <w:jc w:val="center"/>
        <w:outlineLvl w:val="0"/>
        <w:rPr>
          <w:rFonts w:ascii="Times New Roman" w:hAnsi="Times New Roman" w:eastAsia="黑体"/>
          <w:snapToGrid w:val="0"/>
          <w:sz w:val="30"/>
          <w:szCs w:val="30"/>
        </w:rPr>
      </w:pPr>
      <w:bookmarkStart w:id="11" w:name="_Toc103016570"/>
      <w:r>
        <w:rPr>
          <w:rFonts w:ascii="Times New Roman" w:hAnsi="Times New Roman" w:eastAsia="黑体"/>
          <w:snapToGrid w:val="0"/>
          <w:sz w:val="30"/>
          <w:szCs w:val="30"/>
        </w:rPr>
        <w:t>五、</w:t>
      </w:r>
      <w:bookmarkStart w:id="12" w:name="_Hlk54167917"/>
      <w:r>
        <w:rPr>
          <w:rFonts w:ascii="Times New Roman" w:hAnsi="Times New Roman" w:eastAsia="黑体"/>
          <w:snapToGrid w:val="0"/>
          <w:sz w:val="30"/>
          <w:szCs w:val="30"/>
        </w:rPr>
        <w:t>环境保护措施监督检查清单</w:t>
      </w:r>
      <w:bookmarkEnd w:id="11"/>
      <w:bookmarkEnd w:id="12"/>
    </w:p>
    <w:tbl>
      <w:tblPr>
        <w:tblStyle w:val="2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1633"/>
        <w:gridCol w:w="1667"/>
        <w:gridCol w:w="2196"/>
        <w:gridCol w:w="23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08" w:type="dxa"/>
            <w:tcBorders>
              <w:tl2br w:val="single" w:color="auto" w:sz="4" w:space="0"/>
            </w:tcBorders>
          </w:tcPr>
          <w:p>
            <w:pPr>
              <w:adjustRightInd w:val="0"/>
              <w:snapToGrid w:val="0"/>
              <w:jc w:val="right"/>
              <w:rPr>
                <w:szCs w:val="21"/>
              </w:rPr>
            </w:pPr>
            <w:r>
              <w:rPr>
                <w:szCs w:val="21"/>
              </w:rPr>
              <w:t>内容</w:t>
            </w:r>
          </w:p>
          <w:p>
            <w:pPr>
              <w:adjustRightInd w:val="0"/>
              <w:snapToGrid w:val="0"/>
              <w:rPr>
                <w:szCs w:val="21"/>
              </w:rPr>
            </w:pPr>
            <w:r>
              <w:rPr>
                <w:szCs w:val="21"/>
              </w:rPr>
              <w:t>要素</w:t>
            </w:r>
          </w:p>
        </w:tc>
        <w:tc>
          <w:tcPr>
            <w:tcW w:w="1633" w:type="dxa"/>
            <w:vAlign w:val="center"/>
          </w:tcPr>
          <w:p>
            <w:pPr>
              <w:adjustRightInd w:val="0"/>
              <w:snapToGrid w:val="0"/>
              <w:jc w:val="center"/>
              <w:rPr>
                <w:szCs w:val="21"/>
              </w:rPr>
            </w:pPr>
            <w:r>
              <w:rPr>
                <w:szCs w:val="21"/>
              </w:rPr>
              <w:t>排放口(编号、</w:t>
            </w:r>
          </w:p>
          <w:p>
            <w:pPr>
              <w:adjustRightInd w:val="0"/>
              <w:snapToGrid w:val="0"/>
              <w:jc w:val="center"/>
              <w:rPr>
                <w:szCs w:val="21"/>
              </w:rPr>
            </w:pPr>
            <w:r>
              <w:rPr>
                <w:szCs w:val="21"/>
              </w:rPr>
              <w:t>名称)/污染源</w:t>
            </w:r>
          </w:p>
        </w:tc>
        <w:tc>
          <w:tcPr>
            <w:tcW w:w="1667" w:type="dxa"/>
            <w:vAlign w:val="center"/>
          </w:tcPr>
          <w:p>
            <w:pPr>
              <w:adjustRightInd w:val="0"/>
              <w:snapToGrid w:val="0"/>
              <w:jc w:val="center"/>
              <w:rPr>
                <w:szCs w:val="21"/>
              </w:rPr>
            </w:pPr>
            <w:r>
              <w:rPr>
                <w:szCs w:val="21"/>
              </w:rPr>
              <w:t>污染物项目</w:t>
            </w:r>
          </w:p>
        </w:tc>
        <w:tc>
          <w:tcPr>
            <w:tcW w:w="2196" w:type="dxa"/>
            <w:vAlign w:val="center"/>
          </w:tcPr>
          <w:p>
            <w:pPr>
              <w:adjustRightInd w:val="0"/>
              <w:snapToGrid w:val="0"/>
              <w:jc w:val="center"/>
              <w:rPr>
                <w:szCs w:val="21"/>
              </w:rPr>
            </w:pPr>
            <w:r>
              <w:rPr>
                <w:szCs w:val="21"/>
              </w:rPr>
              <w:t>环境保护措施</w:t>
            </w:r>
          </w:p>
        </w:tc>
        <w:tc>
          <w:tcPr>
            <w:tcW w:w="2384" w:type="dxa"/>
            <w:vAlign w:val="center"/>
          </w:tcPr>
          <w:p>
            <w:pPr>
              <w:adjustRightInd w:val="0"/>
              <w:snapToGrid w:val="0"/>
              <w:jc w:val="center"/>
              <w:rPr>
                <w:szCs w:val="21"/>
              </w:rPr>
            </w:pPr>
            <w:r>
              <w:rPr>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8" w:type="dxa"/>
            <w:vMerge w:val="restart"/>
            <w:vAlign w:val="center"/>
          </w:tcPr>
          <w:p>
            <w:pPr>
              <w:adjustRightInd w:val="0"/>
              <w:snapToGrid w:val="0"/>
              <w:jc w:val="center"/>
              <w:rPr>
                <w:szCs w:val="21"/>
              </w:rPr>
            </w:pPr>
            <w:r>
              <w:rPr>
                <w:szCs w:val="21"/>
              </w:rPr>
              <w:t>大气环境</w:t>
            </w:r>
          </w:p>
        </w:tc>
        <w:tc>
          <w:tcPr>
            <w:tcW w:w="1633" w:type="dxa"/>
            <w:vAlign w:val="center"/>
          </w:tcPr>
          <w:p>
            <w:pPr>
              <w:tabs>
                <w:tab w:val="left" w:pos="5184"/>
              </w:tabs>
              <w:jc w:val="center"/>
              <w:rPr>
                <w:szCs w:val="21"/>
              </w:rPr>
            </w:pPr>
            <w:r>
              <w:rPr>
                <w:szCs w:val="21"/>
              </w:rPr>
              <w:t>DA001</w:t>
            </w:r>
          </w:p>
        </w:tc>
        <w:tc>
          <w:tcPr>
            <w:tcW w:w="1667" w:type="dxa"/>
            <w:vAlign w:val="center"/>
          </w:tcPr>
          <w:p>
            <w:pPr>
              <w:adjustRightInd w:val="0"/>
              <w:snapToGrid w:val="0"/>
              <w:jc w:val="center"/>
              <w:rPr>
                <w:szCs w:val="21"/>
              </w:rPr>
            </w:pPr>
            <w:r>
              <w:rPr>
                <w:szCs w:val="21"/>
              </w:rPr>
              <w:t>颗粒物</w:t>
            </w:r>
          </w:p>
          <w:p>
            <w:pPr>
              <w:adjustRightInd w:val="0"/>
              <w:snapToGrid w:val="0"/>
              <w:jc w:val="center"/>
              <w:rPr>
                <w:szCs w:val="21"/>
              </w:rPr>
            </w:pPr>
            <w:r>
              <w:rPr>
                <w:szCs w:val="21"/>
              </w:rPr>
              <w:t>（有组织）</w:t>
            </w:r>
          </w:p>
        </w:tc>
        <w:tc>
          <w:tcPr>
            <w:tcW w:w="2196" w:type="dxa"/>
            <w:vAlign w:val="center"/>
          </w:tcPr>
          <w:p>
            <w:pPr>
              <w:adjustRightInd w:val="0"/>
              <w:snapToGrid w:val="0"/>
              <w:jc w:val="center"/>
              <w:rPr>
                <w:szCs w:val="21"/>
              </w:rPr>
            </w:pPr>
            <w:r>
              <w:rPr>
                <w:szCs w:val="21"/>
              </w:rPr>
              <w:t>一套集气罩+</w:t>
            </w:r>
            <w:r>
              <w:rPr>
                <w:rFonts w:hint="eastAsia"/>
                <w:szCs w:val="21"/>
              </w:rPr>
              <w:t>脉冲</w:t>
            </w:r>
            <w:r>
              <w:rPr>
                <w:szCs w:val="21"/>
              </w:rPr>
              <w:t>布袋除尘器+15m</w:t>
            </w:r>
            <w:r>
              <w:rPr>
                <w:rFonts w:hint="eastAsia"/>
                <w:szCs w:val="21"/>
              </w:rPr>
              <w:t>高</w:t>
            </w:r>
            <w:r>
              <w:rPr>
                <w:szCs w:val="21"/>
              </w:rPr>
              <w:t>排气筒</w:t>
            </w:r>
          </w:p>
        </w:tc>
        <w:tc>
          <w:tcPr>
            <w:tcW w:w="2384" w:type="dxa"/>
            <w:vMerge w:val="restart"/>
            <w:vAlign w:val="center"/>
          </w:tcPr>
          <w:p>
            <w:pPr>
              <w:adjustRightInd w:val="0"/>
              <w:snapToGrid w:val="0"/>
              <w:jc w:val="center"/>
              <w:rPr>
                <w:szCs w:val="21"/>
              </w:rPr>
            </w:pPr>
            <w:r>
              <w:rPr>
                <w:szCs w:val="21"/>
              </w:rPr>
              <w:t>《大气污染物综合排放标准》（GB16297-1996）表2中二级标准及无组织排放标准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8" w:type="dxa"/>
            <w:vMerge w:val="continue"/>
            <w:vAlign w:val="center"/>
          </w:tcPr>
          <w:p>
            <w:pPr>
              <w:adjustRightInd w:val="0"/>
              <w:snapToGrid w:val="0"/>
              <w:jc w:val="center"/>
              <w:rPr>
                <w:szCs w:val="21"/>
              </w:rPr>
            </w:pPr>
          </w:p>
        </w:tc>
        <w:tc>
          <w:tcPr>
            <w:tcW w:w="1633" w:type="dxa"/>
            <w:vAlign w:val="center"/>
          </w:tcPr>
          <w:p>
            <w:pPr>
              <w:tabs>
                <w:tab w:val="left" w:pos="5184"/>
              </w:tabs>
              <w:jc w:val="center"/>
              <w:rPr>
                <w:szCs w:val="21"/>
              </w:rPr>
            </w:pPr>
            <w:r>
              <w:rPr>
                <w:szCs w:val="21"/>
              </w:rPr>
              <w:t>生产车间（破碎、筛分、物料装卸）</w:t>
            </w:r>
          </w:p>
        </w:tc>
        <w:tc>
          <w:tcPr>
            <w:tcW w:w="1667" w:type="dxa"/>
            <w:vAlign w:val="center"/>
          </w:tcPr>
          <w:p>
            <w:pPr>
              <w:adjustRightInd w:val="0"/>
              <w:snapToGrid w:val="0"/>
              <w:jc w:val="center"/>
              <w:rPr>
                <w:szCs w:val="21"/>
              </w:rPr>
            </w:pPr>
            <w:r>
              <w:rPr>
                <w:szCs w:val="21"/>
              </w:rPr>
              <w:t>颗粒物</w:t>
            </w:r>
          </w:p>
          <w:p>
            <w:pPr>
              <w:adjustRightInd w:val="0"/>
              <w:snapToGrid w:val="0"/>
              <w:jc w:val="center"/>
              <w:rPr>
                <w:szCs w:val="21"/>
              </w:rPr>
            </w:pPr>
            <w:r>
              <w:rPr>
                <w:szCs w:val="21"/>
              </w:rPr>
              <w:t>（无组织）</w:t>
            </w:r>
          </w:p>
        </w:tc>
        <w:tc>
          <w:tcPr>
            <w:tcW w:w="2196" w:type="dxa"/>
            <w:vAlign w:val="center"/>
          </w:tcPr>
          <w:p>
            <w:pPr>
              <w:adjustRightInd w:val="0"/>
              <w:snapToGrid w:val="0"/>
              <w:jc w:val="center"/>
              <w:rPr>
                <w:szCs w:val="21"/>
              </w:rPr>
            </w:pPr>
            <w:r>
              <w:rPr>
                <w:szCs w:val="21"/>
              </w:rPr>
              <w:t>车间安装雾化喷淋装置、车间封闭</w:t>
            </w:r>
          </w:p>
        </w:tc>
        <w:tc>
          <w:tcPr>
            <w:tcW w:w="2384" w:type="dxa"/>
            <w:vMerge w:val="continue"/>
            <w:vAlign w:val="center"/>
          </w:tcPr>
          <w:p>
            <w:pPr>
              <w:adjustRightInd w:val="0"/>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8" w:type="dxa"/>
            <w:vMerge w:val="continue"/>
            <w:vAlign w:val="center"/>
          </w:tcPr>
          <w:p>
            <w:pPr>
              <w:adjustRightInd w:val="0"/>
              <w:snapToGrid w:val="0"/>
              <w:jc w:val="center"/>
              <w:rPr>
                <w:szCs w:val="21"/>
              </w:rPr>
            </w:pPr>
          </w:p>
        </w:tc>
        <w:tc>
          <w:tcPr>
            <w:tcW w:w="1633" w:type="dxa"/>
            <w:vAlign w:val="center"/>
          </w:tcPr>
          <w:p>
            <w:pPr>
              <w:tabs>
                <w:tab w:val="left" w:pos="5184"/>
              </w:tabs>
              <w:jc w:val="center"/>
              <w:rPr>
                <w:szCs w:val="21"/>
              </w:rPr>
            </w:pPr>
            <w:r>
              <w:rPr>
                <w:szCs w:val="21"/>
              </w:rPr>
              <w:t>车辆运输</w:t>
            </w:r>
          </w:p>
        </w:tc>
        <w:tc>
          <w:tcPr>
            <w:tcW w:w="1667" w:type="dxa"/>
            <w:vAlign w:val="center"/>
          </w:tcPr>
          <w:p>
            <w:pPr>
              <w:adjustRightInd w:val="0"/>
              <w:snapToGrid w:val="0"/>
              <w:jc w:val="center"/>
              <w:rPr>
                <w:szCs w:val="21"/>
              </w:rPr>
            </w:pPr>
            <w:r>
              <w:rPr>
                <w:szCs w:val="21"/>
              </w:rPr>
              <w:t>颗粒物</w:t>
            </w:r>
          </w:p>
          <w:p>
            <w:pPr>
              <w:adjustRightInd w:val="0"/>
              <w:snapToGrid w:val="0"/>
              <w:jc w:val="center"/>
              <w:rPr>
                <w:szCs w:val="21"/>
              </w:rPr>
            </w:pPr>
            <w:r>
              <w:rPr>
                <w:szCs w:val="21"/>
              </w:rPr>
              <w:t>（无组织）</w:t>
            </w:r>
          </w:p>
        </w:tc>
        <w:tc>
          <w:tcPr>
            <w:tcW w:w="2196" w:type="dxa"/>
            <w:vAlign w:val="center"/>
          </w:tcPr>
          <w:p>
            <w:pPr>
              <w:autoSpaceDE w:val="0"/>
              <w:autoSpaceDN w:val="0"/>
              <w:adjustRightInd w:val="0"/>
              <w:rPr>
                <w:szCs w:val="21"/>
              </w:rPr>
            </w:pPr>
            <w:r>
              <w:rPr>
                <w:szCs w:val="21"/>
              </w:rPr>
              <w:t>堆场洒水、道路洒水、限制车速、车辆</w:t>
            </w:r>
          </w:p>
          <w:p>
            <w:pPr>
              <w:autoSpaceDE w:val="0"/>
              <w:autoSpaceDN w:val="0"/>
              <w:adjustRightInd w:val="0"/>
              <w:rPr>
                <w:szCs w:val="21"/>
              </w:rPr>
            </w:pPr>
            <w:r>
              <w:rPr>
                <w:szCs w:val="21"/>
              </w:rPr>
              <w:t>出厂时冲洗</w:t>
            </w:r>
          </w:p>
        </w:tc>
        <w:tc>
          <w:tcPr>
            <w:tcW w:w="2384" w:type="dxa"/>
            <w:vMerge w:val="continue"/>
            <w:vAlign w:val="center"/>
          </w:tcPr>
          <w:p>
            <w:pPr>
              <w:adjustRightInd w:val="0"/>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08" w:type="dxa"/>
            <w:vMerge w:val="restart"/>
            <w:vAlign w:val="center"/>
          </w:tcPr>
          <w:p>
            <w:pPr>
              <w:adjustRightInd w:val="0"/>
              <w:snapToGrid w:val="0"/>
              <w:jc w:val="center"/>
              <w:rPr>
                <w:szCs w:val="21"/>
              </w:rPr>
            </w:pPr>
            <w:r>
              <w:rPr>
                <w:szCs w:val="21"/>
              </w:rPr>
              <w:t>地表水环境</w:t>
            </w:r>
          </w:p>
        </w:tc>
        <w:tc>
          <w:tcPr>
            <w:tcW w:w="1633" w:type="dxa"/>
            <w:vAlign w:val="center"/>
          </w:tcPr>
          <w:p>
            <w:pPr>
              <w:adjustRightInd w:val="0"/>
              <w:snapToGrid w:val="0"/>
              <w:jc w:val="center"/>
              <w:rPr>
                <w:szCs w:val="21"/>
              </w:rPr>
            </w:pPr>
            <w:r>
              <w:rPr>
                <w:szCs w:val="21"/>
              </w:rPr>
              <w:t>生活污水</w:t>
            </w:r>
          </w:p>
        </w:tc>
        <w:tc>
          <w:tcPr>
            <w:tcW w:w="1667" w:type="dxa"/>
            <w:vAlign w:val="center"/>
          </w:tcPr>
          <w:p>
            <w:pPr>
              <w:adjustRightInd w:val="0"/>
              <w:snapToGrid w:val="0"/>
              <w:jc w:val="center"/>
              <w:rPr>
                <w:szCs w:val="21"/>
              </w:rPr>
            </w:pPr>
            <w:r>
              <w:rPr>
                <w:bCs/>
                <w:kern w:val="0"/>
                <w:szCs w:val="21"/>
              </w:rPr>
              <w:t>COD、BOD</w:t>
            </w:r>
            <w:r>
              <w:rPr>
                <w:bCs/>
                <w:kern w:val="0"/>
                <w:szCs w:val="21"/>
                <w:vertAlign w:val="subscript"/>
              </w:rPr>
              <w:t>5</w:t>
            </w:r>
            <w:r>
              <w:rPr>
                <w:bCs/>
                <w:kern w:val="0"/>
                <w:szCs w:val="21"/>
              </w:rPr>
              <w:t>、SS、NH</w:t>
            </w:r>
            <w:r>
              <w:rPr>
                <w:bCs/>
                <w:kern w:val="0"/>
                <w:szCs w:val="21"/>
                <w:vertAlign w:val="subscript"/>
              </w:rPr>
              <w:t>3</w:t>
            </w:r>
            <w:r>
              <w:rPr>
                <w:bCs/>
                <w:kern w:val="0"/>
                <w:szCs w:val="21"/>
              </w:rPr>
              <w:t>-N</w:t>
            </w:r>
            <w:r>
              <w:rPr>
                <w:szCs w:val="21"/>
              </w:rPr>
              <w:t xml:space="preserve"> </w:t>
            </w:r>
          </w:p>
        </w:tc>
        <w:tc>
          <w:tcPr>
            <w:tcW w:w="2196" w:type="dxa"/>
            <w:vAlign w:val="center"/>
          </w:tcPr>
          <w:p>
            <w:pPr>
              <w:pStyle w:val="86"/>
              <w:ind w:firstLine="0" w:firstLineChars="0"/>
              <w:rPr>
                <w:sz w:val="21"/>
                <w:szCs w:val="21"/>
              </w:rPr>
            </w:pPr>
            <w:r>
              <w:rPr>
                <w:sz w:val="21"/>
                <w:szCs w:val="21"/>
              </w:rPr>
              <w:t>经</w:t>
            </w:r>
            <w:r>
              <w:rPr>
                <w:rFonts w:hint="eastAsia"/>
                <w:sz w:val="21"/>
                <w:szCs w:val="21"/>
              </w:rPr>
              <w:t>防渗旱厕收集</w:t>
            </w:r>
            <w:r>
              <w:rPr>
                <w:sz w:val="21"/>
                <w:szCs w:val="21"/>
              </w:rPr>
              <w:t>后定期清掏肥田</w:t>
            </w:r>
          </w:p>
        </w:tc>
        <w:tc>
          <w:tcPr>
            <w:tcW w:w="2384" w:type="dxa"/>
            <w:vAlign w:val="center"/>
          </w:tcPr>
          <w:p>
            <w:pPr>
              <w:adjustRightInd w:val="0"/>
              <w:snapToGrid w:val="0"/>
              <w:jc w:val="center"/>
              <w:rPr>
                <w:szCs w:val="21"/>
              </w:rPr>
            </w:pPr>
            <w:r>
              <w:rPr>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08" w:type="dxa"/>
            <w:vMerge w:val="continue"/>
            <w:vAlign w:val="center"/>
          </w:tcPr>
          <w:p>
            <w:pPr>
              <w:adjustRightInd w:val="0"/>
              <w:snapToGrid w:val="0"/>
              <w:jc w:val="center"/>
              <w:rPr>
                <w:szCs w:val="21"/>
              </w:rPr>
            </w:pPr>
          </w:p>
        </w:tc>
        <w:tc>
          <w:tcPr>
            <w:tcW w:w="1633" w:type="dxa"/>
            <w:vAlign w:val="center"/>
          </w:tcPr>
          <w:p>
            <w:pPr>
              <w:jc w:val="center"/>
              <w:rPr>
                <w:szCs w:val="21"/>
              </w:rPr>
            </w:pPr>
            <w:r>
              <w:rPr>
                <w:szCs w:val="21"/>
              </w:rPr>
              <w:t>洗砂废水</w:t>
            </w:r>
          </w:p>
        </w:tc>
        <w:tc>
          <w:tcPr>
            <w:tcW w:w="1667" w:type="dxa"/>
            <w:vAlign w:val="center"/>
          </w:tcPr>
          <w:p>
            <w:pPr>
              <w:jc w:val="center"/>
              <w:rPr>
                <w:bCs/>
                <w:kern w:val="0"/>
                <w:szCs w:val="21"/>
              </w:rPr>
            </w:pPr>
            <w:r>
              <w:rPr>
                <w:szCs w:val="21"/>
              </w:rPr>
              <w:t>SS</w:t>
            </w:r>
          </w:p>
        </w:tc>
        <w:tc>
          <w:tcPr>
            <w:tcW w:w="2196" w:type="dxa"/>
            <w:vAlign w:val="center"/>
          </w:tcPr>
          <w:p>
            <w:pPr>
              <w:pStyle w:val="86"/>
              <w:ind w:firstLine="0" w:firstLineChars="0"/>
              <w:rPr>
                <w:sz w:val="21"/>
                <w:szCs w:val="21"/>
              </w:rPr>
            </w:pPr>
            <w:r>
              <w:rPr>
                <w:sz w:val="21"/>
                <w:szCs w:val="21"/>
              </w:rPr>
              <w:t>污水处理设施</w:t>
            </w:r>
            <w:r>
              <w:rPr>
                <w:rFonts w:hint="eastAsia"/>
                <w:sz w:val="21"/>
                <w:szCs w:val="21"/>
              </w:rPr>
              <w:t>一套，</w:t>
            </w:r>
            <w:r>
              <w:rPr>
                <w:sz w:val="21"/>
                <w:szCs w:val="21"/>
              </w:rPr>
              <w:t>处理后回用于生产</w:t>
            </w:r>
          </w:p>
        </w:tc>
        <w:tc>
          <w:tcPr>
            <w:tcW w:w="2384" w:type="dxa"/>
            <w:vAlign w:val="center"/>
          </w:tcPr>
          <w:p>
            <w:pPr>
              <w:adjustRightInd w:val="0"/>
              <w:snapToGrid w:val="0"/>
              <w:jc w:val="center"/>
              <w:rPr>
                <w:szCs w:val="21"/>
              </w:rPr>
            </w:pPr>
            <w:r>
              <w:rPr>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08" w:type="dxa"/>
            <w:vMerge w:val="continue"/>
            <w:vAlign w:val="center"/>
          </w:tcPr>
          <w:p>
            <w:pPr>
              <w:adjustRightInd w:val="0"/>
              <w:snapToGrid w:val="0"/>
              <w:jc w:val="center"/>
              <w:rPr>
                <w:szCs w:val="21"/>
              </w:rPr>
            </w:pPr>
          </w:p>
        </w:tc>
        <w:tc>
          <w:tcPr>
            <w:tcW w:w="1633" w:type="dxa"/>
            <w:vAlign w:val="center"/>
          </w:tcPr>
          <w:p>
            <w:pPr>
              <w:jc w:val="center"/>
              <w:rPr>
                <w:szCs w:val="21"/>
              </w:rPr>
            </w:pPr>
            <w:r>
              <w:rPr>
                <w:szCs w:val="21"/>
              </w:rPr>
              <w:t>车辆冲洗废水</w:t>
            </w:r>
          </w:p>
        </w:tc>
        <w:tc>
          <w:tcPr>
            <w:tcW w:w="1667" w:type="dxa"/>
            <w:vAlign w:val="center"/>
          </w:tcPr>
          <w:p>
            <w:pPr>
              <w:jc w:val="center"/>
              <w:rPr>
                <w:bCs/>
                <w:kern w:val="0"/>
                <w:szCs w:val="21"/>
              </w:rPr>
            </w:pPr>
            <w:r>
              <w:rPr>
                <w:szCs w:val="21"/>
              </w:rPr>
              <w:t>SS</w:t>
            </w:r>
            <w:r>
              <w:rPr>
                <w:bCs/>
                <w:kern w:val="0"/>
                <w:szCs w:val="21"/>
              </w:rPr>
              <w:t xml:space="preserve"> </w:t>
            </w:r>
          </w:p>
        </w:tc>
        <w:tc>
          <w:tcPr>
            <w:tcW w:w="2196" w:type="dxa"/>
            <w:vAlign w:val="center"/>
          </w:tcPr>
          <w:p>
            <w:pPr>
              <w:pStyle w:val="86"/>
              <w:ind w:firstLine="0" w:firstLineChars="0"/>
              <w:rPr>
                <w:bCs/>
                <w:kern w:val="0"/>
                <w:sz w:val="21"/>
                <w:szCs w:val="21"/>
              </w:rPr>
            </w:pPr>
            <w:r>
              <w:rPr>
                <w:bCs/>
                <w:kern w:val="0"/>
                <w:sz w:val="21"/>
                <w:szCs w:val="21"/>
              </w:rPr>
              <w:t>沉淀池</w:t>
            </w:r>
            <w:r>
              <w:rPr>
                <w:sz w:val="21"/>
                <w:szCs w:val="21"/>
              </w:rPr>
              <w:t>（1座，V=5m</w:t>
            </w:r>
            <w:r>
              <w:rPr>
                <w:sz w:val="21"/>
                <w:szCs w:val="21"/>
                <w:vertAlign w:val="superscript"/>
              </w:rPr>
              <w:t>3</w:t>
            </w:r>
            <w:r>
              <w:rPr>
                <w:sz w:val="21"/>
                <w:szCs w:val="21"/>
              </w:rPr>
              <w:t>）</w:t>
            </w:r>
          </w:p>
        </w:tc>
        <w:tc>
          <w:tcPr>
            <w:tcW w:w="2384" w:type="dxa"/>
            <w:vAlign w:val="center"/>
          </w:tcPr>
          <w:p>
            <w:pPr>
              <w:adjustRightInd w:val="0"/>
              <w:snapToGrid w:val="0"/>
              <w:jc w:val="center"/>
              <w:rPr>
                <w:szCs w:val="21"/>
              </w:rPr>
            </w:pPr>
            <w:r>
              <w:rPr>
                <w:rFonts w:hint="eastAsia"/>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8" w:type="dxa"/>
            <w:vAlign w:val="center"/>
          </w:tcPr>
          <w:p>
            <w:pPr>
              <w:adjustRightInd w:val="0"/>
              <w:snapToGrid w:val="0"/>
              <w:jc w:val="center"/>
              <w:rPr>
                <w:szCs w:val="21"/>
              </w:rPr>
            </w:pPr>
            <w:r>
              <w:rPr>
                <w:szCs w:val="21"/>
              </w:rPr>
              <w:t>声环境</w:t>
            </w:r>
          </w:p>
        </w:tc>
        <w:tc>
          <w:tcPr>
            <w:tcW w:w="1633" w:type="dxa"/>
            <w:vAlign w:val="center"/>
          </w:tcPr>
          <w:p>
            <w:pPr>
              <w:adjustRightInd w:val="0"/>
              <w:snapToGrid w:val="0"/>
              <w:jc w:val="center"/>
              <w:rPr>
                <w:szCs w:val="21"/>
              </w:rPr>
            </w:pPr>
            <w:r>
              <w:rPr>
                <w:szCs w:val="21"/>
              </w:rPr>
              <w:t>生产车间</w:t>
            </w:r>
          </w:p>
        </w:tc>
        <w:tc>
          <w:tcPr>
            <w:tcW w:w="1667" w:type="dxa"/>
            <w:vAlign w:val="center"/>
          </w:tcPr>
          <w:p>
            <w:pPr>
              <w:adjustRightInd w:val="0"/>
              <w:snapToGrid w:val="0"/>
              <w:jc w:val="center"/>
              <w:rPr>
                <w:szCs w:val="21"/>
              </w:rPr>
            </w:pPr>
            <w:r>
              <w:rPr>
                <w:szCs w:val="21"/>
              </w:rPr>
              <w:t>设备噪声</w:t>
            </w:r>
          </w:p>
        </w:tc>
        <w:tc>
          <w:tcPr>
            <w:tcW w:w="2196" w:type="dxa"/>
            <w:vAlign w:val="center"/>
          </w:tcPr>
          <w:p>
            <w:pPr>
              <w:adjustRightInd w:val="0"/>
              <w:snapToGrid w:val="0"/>
              <w:jc w:val="center"/>
              <w:rPr>
                <w:szCs w:val="21"/>
              </w:rPr>
            </w:pPr>
            <w:r>
              <w:rPr>
                <w:rFonts w:hint="eastAsia"/>
                <w:szCs w:val="21"/>
              </w:rPr>
              <w:t>合理布局、</w:t>
            </w:r>
            <w:r>
              <w:rPr>
                <w:szCs w:val="21"/>
              </w:rPr>
              <w:t>设备减振、隔声处理、距离衰减</w:t>
            </w:r>
          </w:p>
        </w:tc>
        <w:tc>
          <w:tcPr>
            <w:tcW w:w="2384" w:type="dxa"/>
            <w:vAlign w:val="center"/>
          </w:tcPr>
          <w:p>
            <w:pPr>
              <w:adjustRightInd w:val="0"/>
              <w:snapToGrid w:val="0"/>
              <w:jc w:val="center"/>
              <w:rPr>
                <w:szCs w:val="21"/>
              </w:rPr>
            </w:pPr>
            <w:r>
              <w:rPr>
                <w:szCs w:val="21"/>
              </w:rPr>
              <w:t>《工业企业厂界环境噪声排放标准》（GB12348-2008）2类排放限值标准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8" w:type="dxa"/>
            <w:vAlign w:val="center"/>
          </w:tcPr>
          <w:p>
            <w:pPr>
              <w:adjustRightInd w:val="0"/>
              <w:snapToGrid w:val="0"/>
              <w:jc w:val="center"/>
              <w:rPr>
                <w:szCs w:val="21"/>
              </w:rPr>
            </w:pPr>
            <w:r>
              <w:rPr>
                <w:szCs w:val="21"/>
              </w:rPr>
              <w:t>电磁辐射</w:t>
            </w:r>
          </w:p>
        </w:tc>
        <w:tc>
          <w:tcPr>
            <w:tcW w:w="1633" w:type="dxa"/>
            <w:vAlign w:val="center"/>
          </w:tcPr>
          <w:p>
            <w:pPr>
              <w:adjustRightInd w:val="0"/>
              <w:snapToGrid w:val="0"/>
              <w:jc w:val="center"/>
              <w:rPr>
                <w:szCs w:val="21"/>
              </w:rPr>
            </w:pPr>
            <w:r>
              <w:rPr>
                <w:szCs w:val="21"/>
              </w:rPr>
              <w:t>/</w:t>
            </w:r>
          </w:p>
        </w:tc>
        <w:tc>
          <w:tcPr>
            <w:tcW w:w="1667" w:type="dxa"/>
            <w:vAlign w:val="center"/>
          </w:tcPr>
          <w:p>
            <w:pPr>
              <w:adjustRightInd w:val="0"/>
              <w:snapToGrid w:val="0"/>
              <w:jc w:val="center"/>
              <w:rPr>
                <w:szCs w:val="21"/>
              </w:rPr>
            </w:pPr>
            <w:r>
              <w:rPr>
                <w:szCs w:val="21"/>
              </w:rPr>
              <w:t>/</w:t>
            </w:r>
          </w:p>
        </w:tc>
        <w:tc>
          <w:tcPr>
            <w:tcW w:w="2196" w:type="dxa"/>
            <w:vAlign w:val="center"/>
          </w:tcPr>
          <w:p>
            <w:pPr>
              <w:adjustRightInd w:val="0"/>
              <w:snapToGrid w:val="0"/>
              <w:jc w:val="center"/>
              <w:rPr>
                <w:szCs w:val="21"/>
              </w:rPr>
            </w:pPr>
            <w:r>
              <w:rPr>
                <w:szCs w:val="21"/>
              </w:rPr>
              <w:t>/</w:t>
            </w:r>
          </w:p>
        </w:tc>
        <w:tc>
          <w:tcPr>
            <w:tcW w:w="2384" w:type="dxa"/>
            <w:vAlign w:val="center"/>
          </w:tcPr>
          <w:p>
            <w:pPr>
              <w:adjustRightInd w:val="0"/>
              <w:snapToGrid w:val="0"/>
              <w:jc w:val="center"/>
              <w:rPr>
                <w:szCs w:val="21"/>
              </w:rPr>
            </w:pPr>
            <w:r>
              <w:rPr>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408" w:type="dxa"/>
            <w:vAlign w:val="center"/>
          </w:tcPr>
          <w:p>
            <w:pPr>
              <w:adjustRightInd w:val="0"/>
              <w:snapToGrid w:val="0"/>
              <w:jc w:val="center"/>
              <w:rPr>
                <w:szCs w:val="21"/>
              </w:rPr>
            </w:pPr>
            <w:r>
              <w:rPr>
                <w:szCs w:val="21"/>
              </w:rPr>
              <w:t>固体废物</w:t>
            </w:r>
          </w:p>
        </w:tc>
        <w:tc>
          <w:tcPr>
            <w:tcW w:w="7880" w:type="dxa"/>
            <w:gridSpan w:val="4"/>
            <w:vAlign w:val="center"/>
          </w:tcPr>
          <w:p>
            <w:pPr>
              <w:spacing w:line="400" w:lineRule="exact"/>
              <w:rPr>
                <w:szCs w:val="21"/>
              </w:rPr>
            </w:pPr>
            <w:r>
              <w:rPr>
                <w:rFonts w:hint="eastAsia" w:ascii="宋体" w:hAnsi="宋体" w:cs="宋体"/>
                <w:szCs w:val="21"/>
              </w:rPr>
              <w:t>①</w:t>
            </w:r>
            <w:r>
              <w:rPr>
                <w:szCs w:val="21"/>
              </w:rPr>
              <w:t>生活垃圾在厂区内设若干分类垃圾桶收集，由环卫部门每日清运；</w:t>
            </w:r>
          </w:p>
          <w:p>
            <w:pPr>
              <w:spacing w:line="400" w:lineRule="exact"/>
              <w:rPr>
                <w:szCs w:val="21"/>
              </w:rPr>
            </w:pPr>
            <w:r>
              <w:rPr>
                <w:rFonts w:hint="eastAsia" w:ascii="宋体" w:hAnsi="宋体" w:cs="宋体"/>
                <w:bCs/>
                <w:szCs w:val="21"/>
              </w:rPr>
              <w:t>②</w:t>
            </w:r>
            <w:r>
              <w:rPr>
                <w:bCs/>
                <w:szCs w:val="21"/>
              </w:rPr>
              <w:t>一般工业固体废物：</w:t>
            </w:r>
            <w:r>
              <w:rPr>
                <w:szCs w:val="21"/>
              </w:rPr>
              <w:t>除尘器收尘可作为产品外售；泥渣经过压滤机处理后将泥浆中的水、泥分离，泥饼外运到周边垃圾填埋场按要求进行填埋处理</w:t>
            </w:r>
            <w:r>
              <w:rPr>
                <w:rFonts w:hint="eastAsia"/>
                <w:szCs w:val="21"/>
              </w:rPr>
              <w:t>。</w:t>
            </w:r>
          </w:p>
          <w:p>
            <w:pPr>
              <w:spacing w:line="400" w:lineRule="exact"/>
              <w:rPr>
                <w:szCs w:val="21"/>
              </w:rPr>
            </w:pPr>
            <w:r>
              <w:rPr>
                <w:rFonts w:hint="eastAsia" w:ascii="宋体" w:hAnsi="宋体" w:cs="宋体"/>
                <w:szCs w:val="21"/>
              </w:rPr>
              <w:t>③</w:t>
            </w:r>
            <w:r>
              <w:rPr>
                <w:szCs w:val="21"/>
              </w:rPr>
              <w:t>危险废物：含油抹布手套、废机油收集，暂存于危废暂存箱内，定期交由有资质单位进行处理。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408" w:type="dxa"/>
            <w:vAlign w:val="center"/>
          </w:tcPr>
          <w:p>
            <w:pPr>
              <w:adjustRightInd w:val="0"/>
              <w:snapToGrid w:val="0"/>
              <w:jc w:val="center"/>
              <w:rPr>
                <w:szCs w:val="21"/>
              </w:rPr>
            </w:pPr>
            <w:r>
              <w:rPr>
                <w:szCs w:val="21"/>
              </w:rPr>
              <w:t>土壤及地下水污染防治措施</w:t>
            </w:r>
          </w:p>
        </w:tc>
        <w:tc>
          <w:tcPr>
            <w:tcW w:w="7880" w:type="dxa"/>
            <w:gridSpan w:val="4"/>
            <w:vAlign w:val="center"/>
          </w:tcPr>
          <w:p>
            <w:pPr>
              <w:spacing w:line="360" w:lineRule="auto"/>
              <w:ind w:firstLine="420" w:firstLineChars="200"/>
              <w:jc w:val="left"/>
              <w:rPr>
                <w:bCs/>
                <w:szCs w:val="21"/>
              </w:rPr>
            </w:pPr>
            <w:r>
              <w:rPr>
                <w:bCs/>
                <w:szCs w:val="21"/>
              </w:rPr>
              <w:t>源头控制措施：在生产过程中，做好设备的维护、检修，杜绝跑、冒、滴、漏现象；产生的废机油及时交由资质单位处置。</w:t>
            </w:r>
          </w:p>
          <w:p>
            <w:pPr>
              <w:spacing w:line="360" w:lineRule="auto"/>
              <w:ind w:firstLine="420" w:firstLineChars="200"/>
              <w:jc w:val="left"/>
              <w:rPr>
                <w:bCs/>
                <w:szCs w:val="21"/>
              </w:rPr>
            </w:pPr>
            <w:r>
              <w:rPr>
                <w:bCs/>
                <w:szCs w:val="21"/>
              </w:rPr>
              <w:t>过程防控措施：污水处理设施均采取严格的硬化及防渗处理。</w:t>
            </w:r>
          </w:p>
          <w:p>
            <w:pPr>
              <w:spacing w:line="360" w:lineRule="auto"/>
              <w:ind w:firstLine="420" w:firstLineChars="200"/>
              <w:jc w:val="left"/>
              <w:rPr>
                <w:szCs w:val="21"/>
              </w:rPr>
            </w:pPr>
            <w:r>
              <w:rPr>
                <w:bCs/>
                <w:szCs w:val="21"/>
              </w:rPr>
              <w:t>管理措施：厂区建立完善的危废管理制度，有专人负责进行管理。采取以上措施，对土壤及地下水环境影响较小。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408" w:type="dxa"/>
            <w:vAlign w:val="center"/>
          </w:tcPr>
          <w:p>
            <w:pPr>
              <w:adjustRightInd w:val="0"/>
              <w:snapToGrid w:val="0"/>
              <w:jc w:val="center"/>
              <w:rPr>
                <w:szCs w:val="21"/>
              </w:rPr>
            </w:pPr>
            <w:r>
              <w:rPr>
                <w:szCs w:val="21"/>
              </w:rPr>
              <w:t>生态保护措施</w:t>
            </w:r>
          </w:p>
        </w:tc>
        <w:tc>
          <w:tcPr>
            <w:tcW w:w="7880" w:type="dxa"/>
            <w:gridSpan w:val="4"/>
            <w:vAlign w:val="center"/>
          </w:tcPr>
          <w:p>
            <w:pPr>
              <w:adjustRightInd w:val="0"/>
              <w:snapToGrid w:val="0"/>
              <w:jc w:val="center"/>
              <w:rPr>
                <w:szCs w:val="21"/>
              </w:rPr>
            </w:pPr>
            <w:r>
              <w:rPr>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408" w:type="dxa"/>
            <w:vAlign w:val="center"/>
          </w:tcPr>
          <w:p>
            <w:pPr>
              <w:adjustRightInd w:val="0"/>
              <w:snapToGrid w:val="0"/>
              <w:jc w:val="center"/>
              <w:rPr>
                <w:spacing w:val="-8"/>
                <w:szCs w:val="21"/>
              </w:rPr>
            </w:pPr>
            <w:r>
              <w:rPr>
                <w:spacing w:val="-8"/>
                <w:szCs w:val="21"/>
              </w:rPr>
              <w:t>环境风险</w:t>
            </w:r>
          </w:p>
          <w:p>
            <w:pPr>
              <w:adjustRightInd w:val="0"/>
              <w:snapToGrid w:val="0"/>
              <w:jc w:val="center"/>
              <w:rPr>
                <w:spacing w:val="-8"/>
                <w:szCs w:val="21"/>
                <w:highlight w:val="cyan"/>
              </w:rPr>
            </w:pPr>
            <w:r>
              <w:rPr>
                <w:spacing w:val="-8"/>
                <w:szCs w:val="21"/>
              </w:rPr>
              <w:t>防范措施</w:t>
            </w:r>
          </w:p>
        </w:tc>
        <w:tc>
          <w:tcPr>
            <w:tcW w:w="7880" w:type="dxa"/>
            <w:gridSpan w:val="4"/>
            <w:vAlign w:val="center"/>
          </w:tcPr>
          <w:p>
            <w:pPr>
              <w:spacing w:line="360" w:lineRule="auto"/>
              <w:ind w:firstLine="420" w:firstLineChars="200"/>
              <w:jc w:val="left"/>
              <w:rPr>
                <w:szCs w:val="21"/>
                <w:highlight w:val="cyan"/>
              </w:rPr>
            </w:pPr>
            <w:r>
              <w:rPr>
                <w:rFonts w:hint="eastAsia"/>
                <w:szCs w:val="21"/>
              </w:rPr>
              <w:t>公司制定严格的规章制度，机油、废机油分别储存于相应的专用区域并采取防渗措施。为了防范事故和减少危害，应制定本项目可能造成环境风险的突发性事故应急预案，并做好日常演练。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4" w:hRule="atLeast"/>
          <w:jc w:val="center"/>
        </w:trPr>
        <w:tc>
          <w:tcPr>
            <w:tcW w:w="1408" w:type="dxa"/>
            <w:vAlign w:val="center"/>
          </w:tcPr>
          <w:p>
            <w:pPr>
              <w:adjustRightInd w:val="0"/>
              <w:snapToGrid w:val="0"/>
              <w:jc w:val="center"/>
              <w:rPr>
                <w:spacing w:val="-8"/>
                <w:szCs w:val="21"/>
              </w:rPr>
            </w:pPr>
            <w:r>
              <w:rPr>
                <w:spacing w:val="-8"/>
                <w:szCs w:val="21"/>
              </w:rPr>
              <w:t>其他环境</w:t>
            </w:r>
          </w:p>
          <w:p>
            <w:pPr>
              <w:adjustRightInd w:val="0"/>
              <w:snapToGrid w:val="0"/>
              <w:jc w:val="center"/>
              <w:rPr>
                <w:spacing w:val="-8"/>
                <w:szCs w:val="21"/>
              </w:rPr>
            </w:pPr>
            <w:r>
              <w:rPr>
                <w:spacing w:val="-8"/>
                <w:szCs w:val="21"/>
              </w:rPr>
              <w:t>管理要求</w:t>
            </w:r>
          </w:p>
        </w:tc>
        <w:tc>
          <w:tcPr>
            <w:tcW w:w="7880" w:type="dxa"/>
            <w:gridSpan w:val="4"/>
          </w:tcPr>
          <w:p>
            <w:pPr>
              <w:widowControl/>
              <w:ind w:firstLine="420" w:firstLineChars="200"/>
              <w:jc w:val="left"/>
              <w:rPr>
                <w:color w:val="000000"/>
                <w:kern w:val="0"/>
                <w:szCs w:val="21"/>
              </w:rPr>
            </w:pPr>
            <w:r>
              <w:rPr>
                <w:rFonts w:hint="eastAsia"/>
                <w:color w:val="000000"/>
                <w:kern w:val="0"/>
                <w:szCs w:val="21"/>
              </w:rPr>
              <w:t>①严格执行国家环境保护有关政策和法规，项目建成后及时进行建设项目竣工环境保护验收工作；</w:t>
            </w:r>
          </w:p>
          <w:p>
            <w:pPr>
              <w:widowControl/>
              <w:ind w:firstLine="420" w:firstLineChars="200"/>
              <w:jc w:val="left"/>
              <w:rPr>
                <w:color w:val="000000"/>
                <w:kern w:val="0"/>
                <w:szCs w:val="21"/>
              </w:rPr>
            </w:pPr>
            <w:r>
              <w:rPr>
                <w:rFonts w:hint="eastAsia"/>
                <w:color w:val="000000"/>
                <w:kern w:val="0"/>
                <w:szCs w:val="21"/>
              </w:rPr>
              <w:t>②严格执行建设项目“三同时”制度；</w:t>
            </w:r>
          </w:p>
          <w:p>
            <w:pPr>
              <w:widowControl/>
              <w:ind w:firstLine="420" w:firstLineChars="200"/>
              <w:jc w:val="left"/>
              <w:rPr>
                <w:color w:val="000000"/>
                <w:kern w:val="0"/>
                <w:szCs w:val="21"/>
              </w:rPr>
            </w:pPr>
            <w:r>
              <w:rPr>
                <w:rFonts w:hint="eastAsia"/>
                <w:color w:val="000000"/>
                <w:kern w:val="0"/>
                <w:szCs w:val="21"/>
              </w:rPr>
              <w:t>③建立健全环境管理制度、环保档案，设置专职或兼职环保人员，负责日常环保安全，定期检查环保管理和环境监测工作；</w:t>
            </w:r>
          </w:p>
          <w:p>
            <w:pPr>
              <w:widowControl/>
              <w:ind w:firstLine="420" w:firstLineChars="200"/>
              <w:jc w:val="left"/>
              <w:rPr>
                <w:color w:val="000000"/>
                <w:kern w:val="0"/>
                <w:szCs w:val="21"/>
              </w:rPr>
            </w:pPr>
            <w:r>
              <w:rPr>
                <w:rFonts w:hint="eastAsia" w:hAnsi="宋体"/>
                <w:color w:val="000000"/>
                <w:kern w:val="0"/>
                <w:szCs w:val="21"/>
              </w:rPr>
              <w:t>④</w:t>
            </w:r>
            <w:r>
              <w:rPr>
                <w:color w:val="000000"/>
                <w:kern w:val="0"/>
                <w:szCs w:val="21"/>
              </w:rPr>
              <w:t>进行环保教育宣传，预防或减少可能的环境影响。</w:t>
            </w:r>
          </w:p>
          <w:p>
            <w:pPr>
              <w:adjustRightInd w:val="0"/>
              <w:snapToGrid w:val="0"/>
              <w:spacing w:line="360" w:lineRule="auto"/>
              <w:rPr>
                <w:szCs w:val="21"/>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tc>
      </w:tr>
    </w:tbl>
    <w:p>
      <w:pPr>
        <w:pStyle w:val="21"/>
        <w:jc w:val="center"/>
        <w:outlineLvl w:val="0"/>
        <w:rPr>
          <w:rFonts w:ascii="Times New Roman" w:hAnsi="Times New Roman" w:eastAsia="黑体"/>
          <w:snapToGrid w:val="0"/>
          <w:sz w:val="30"/>
          <w:szCs w:val="30"/>
        </w:rPr>
      </w:pPr>
      <w:r>
        <w:rPr>
          <w:rFonts w:ascii="Times New Roman" w:hAnsi="Times New Roman"/>
          <w:snapToGrid w:val="0"/>
          <w:highlight w:val="cyan"/>
        </w:rPr>
        <w:br w:type="page"/>
      </w:r>
      <w:bookmarkStart w:id="13" w:name="_Toc103016571"/>
      <w:r>
        <w:rPr>
          <w:rFonts w:ascii="Times New Roman" w:hAnsi="Times New Roman" w:eastAsia="黑体"/>
          <w:snapToGrid w:val="0"/>
          <w:sz w:val="30"/>
          <w:szCs w:val="30"/>
        </w:rPr>
        <w:t>六、结论</w:t>
      </w:r>
      <w:bookmarkEnd w:id="13"/>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83" w:hRule="atLeast"/>
          <w:jc w:val="center"/>
        </w:trPr>
        <w:tc>
          <w:tcPr>
            <w:tcW w:w="8865" w:type="dxa"/>
          </w:tcPr>
          <w:p>
            <w:pPr>
              <w:spacing w:before="120" w:beforeLines="50" w:line="360" w:lineRule="auto"/>
              <w:ind w:firstLine="480" w:firstLineChars="200"/>
              <w:rPr>
                <w:sz w:val="24"/>
              </w:rPr>
            </w:pPr>
            <w:r>
              <w:rPr>
                <w:rFonts w:hint="eastAsia"/>
                <w:sz w:val="24"/>
              </w:rPr>
              <w:t>从环境保护角度，陕西</w:t>
            </w:r>
            <w:r>
              <w:rPr>
                <w:rFonts w:hint="eastAsia"/>
                <w:sz w:val="24"/>
                <w:lang w:eastAsia="zh-CN"/>
              </w:rPr>
              <w:t>灞沣</w:t>
            </w:r>
            <w:r>
              <w:rPr>
                <w:rFonts w:hint="eastAsia"/>
                <w:sz w:val="24"/>
              </w:rPr>
              <w:t>源环保建材有限公司砂石建材回收利用项目环境影响可行。</w:t>
            </w:r>
          </w:p>
        </w:tc>
      </w:tr>
    </w:tbl>
    <w:p>
      <w:pPr>
        <w:rPr>
          <w:highlight w:val="cyan"/>
        </w:rPr>
        <w:sectPr>
          <w:pgSz w:w="11906" w:h="16838"/>
          <w:pgMar w:top="1417" w:right="1417" w:bottom="1417" w:left="1417" w:header="851" w:footer="851" w:gutter="0"/>
          <w:cols w:space="720" w:num="1"/>
          <w:docGrid w:linePitch="312" w:charSpace="0"/>
        </w:sectPr>
      </w:pPr>
    </w:p>
    <w:p>
      <w:pPr>
        <w:pStyle w:val="21"/>
        <w:adjustRightInd w:val="0"/>
        <w:snapToGrid w:val="0"/>
        <w:spacing w:before="0" w:beforeAutospacing="0" w:after="0" w:afterAutospacing="0" w:line="648" w:lineRule="auto"/>
        <w:outlineLvl w:val="0"/>
        <w:rPr>
          <w:rFonts w:ascii="Times New Roman" w:hAnsi="Times New Roman" w:eastAsia="黑体"/>
          <w:snapToGrid w:val="0"/>
          <w:sz w:val="32"/>
          <w:szCs w:val="32"/>
        </w:rPr>
      </w:pPr>
      <w:bookmarkStart w:id="14" w:name="_Toc103016572"/>
      <w:r>
        <w:rPr>
          <w:rFonts w:ascii="Times New Roman" w:hAnsi="Times New Roman" w:eastAsia="黑体"/>
          <w:snapToGrid w:val="0"/>
          <w:sz w:val="32"/>
          <w:szCs w:val="32"/>
        </w:rPr>
        <w:t>附表</w:t>
      </w:r>
      <w:bookmarkEnd w:id="14"/>
    </w:p>
    <w:p>
      <w:pPr>
        <w:pStyle w:val="86"/>
        <w:ind w:firstLine="883"/>
        <w:jc w:val="center"/>
        <w:rPr>
          <w:b/>
          <w:bCs/>
          <w:snapToGrid w:val="0"/>
          <w:sz w:val="44"/>
          <w:szCs w:val="44"/>
        </w:rPr>
      </w:pPr>
      <w:r>
        <w:rPr>
          <w:b/>
          <w:bCs/>
          <w:snapToGrid w:val="0"/>
          <w:sz w:val="44"/>
          <w:szCs w:val="44"/>
        </w:rPr>
        <w:t>建设项目污染物排放量汇总表</w:t>
      </w:r>
    </w:p>
    <w:tbl>
      <w:tblPr>
        <w:tblStyle w:val="26"/>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473"/>
        <w:gridCol w:w="1395"/>
        <w:gridCol w:w="1363"/>
        <w:gridCol w:w="1676"/>
        <w:gridCol w:w="1675"/>
        <w:gridCol w:w="1520"/>
        <w:gridCol w:w="1791"/>
        <w:gridCol w:w="16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1" w:type="dxa"/>
            <w:tcBorders>
              <w:tl2br w:val="single" w:color="auto" w:sz="4" w:space="0"/>
            </w:tcBorders>
            <w:tcMar>
              <w:left w:w="28" w:type="dxa"/>
              <w:right w:w="28" w:type="dxa"/>
            </w:tcMar>
            <w:vAlign w:val="center"/>
          </w:tcPr>
          <w:p>
            <w:pPr>
              <w:pStyle w:val="49"/>
              <w:spacing w:beforeLines="0" w:afterLines="0" w:line="240" w:lineRule="auto"/>
              <w:jc w:val="right"/>
              <w:rPr>
                <w:rFonts w:ascii="Times New Roman" w:eastAsia="黑体"/>
                <w:snapToGrid w:val="0"/>
                <w:spacing w:val="-6"/>
                <w:kern w:val="21"/>
                <w:szCs w:val="15"/>
              </w:rPr>
            </w:pPr>
            <w:r>
              <w:rPr>
                <w:rFonts w:ascii="Times New Roman" w:eastAsia="黑体"/>
                <w:snapToGrid w:val="0"/>
                <w:spacing w:val="-6"/>
                <w:kern w:val="21"/>
                <w:szCs w:val="15"/>
              </w:rPr>
              <w:t>项目</w:t>
            </w:r>
          </w:p>
          <w:p>
            <w:pPr>
              <w:pStyle w:val="49"/>
              <w:spacing w:beforeLines="0" w:afterLines="0" w:line="240" w:lineRule="auto"/>
              <w:jc w:val="left"/>
              <w:rPr>
                <w:rFonts w:ascii="Times New Roman" w:eastAsia="黑体"/>
                <w:snapToGrid w:val="0"/>
                <w:spacing w:val="-6"/>
                <w:kern w:val="21"/>
                <w:szCs w:val="15"/>
              </w:rPr>
            </w:pPr>
            <w:r>
              <w:rPr>
                <w:rFonts w:ascii="Times New Roman" w:eastAsia="黑体"/>
                <w:snapToGrid w:val="0"/>
                <w:spacing w:val="-6"/>
                <w:kern w:val="21"/>
                <w:szCs w:val="15"/>
              </w:rPr>
              <w:t>分类</w:t>
            </w:r>
          </w:p>
        </w:tc>
        <w:tc>
          <w:tcPr>
            <w:tcW w:w="1473" w:type="dxa"/>
            <w:tcMar>
              <w:left w:w="28" w:type="dxa"/>
              <w:right w:w="28" w:type="dxa"/>
            </w:tcMar>
            <w:vAlign w:val="center"/>
          </w:tcPr>
          <w:p>
            <w:pPr>
              <w:pStyle w:val="49"/>
              <w:spacing w:beforeLines="0" w:afterLines="0" w:line="240" w:lineRule="auto"/>
              <w:rPr>
                <w:rFonts w:ascii="Times New Roman" w:eastAsia="黑体"/>
                <w:snapToGrid w:val="0"/>
                <w:spacing w:val="-6"/>
                <w:kern w:val="21"/>
                <w:szCs w:val="15"/>
              </w:rPr>
            </w:pPr>
            <w:r>
              <w:rPr>
                <w:rFonts w:ascii="Times New Roman" w:eastAsia="黑体"/>
                <w:snapToGrid w:val="0"/>
                <w:spacing w:val="-6"/>
                <w:kern w:val="21"/>
                <w:szCs w:val="15"/>
              </w:rPr>
              <w:t>污染物名称</w:t>
            </w:r>
          </w:p>
        </w:tc>
        <w:tc>
          <w:tcPr>
            <w:tcW w:w="1395" w:type="dxa"/>
            <w:tcMar>
              <w:left w:w="28" w:type="dxa"/>
              <w:right w:w="28" w:type="dxa"/>
            </w:tcMar>
            <w:vAlign w:val="center"/>
          </w:tcPr>
          <w:p>
            <w:pPr>
              <w:pStyle w:val="49"/>
              <w:spacing w:beforeLines="0" w:afterLines="0" w:line="240" w:lineRule="auto"/>
              <w:rPr>
                <w:rFonts w:ascii="Times New Roman" w:eastAsia="黑体"/>
                <w:snapToGrid w:val="0"/>
                <w:spacing w:val="-6"/>
                <w:kern w:val="21"/>
                <w:szCs w:val="15"/>
              </w:rPr>
            </w:pPr>
            <w:r>
              <w:rPr>
                <w:rFonts w:ascii="Times New Roman" w:eastAsia="黑体"/>
                <w:snapToGrid w:val="0"/>
                <w:spacing w:val="-6"/>
                <w:kern w:val="21"/>
                <w:szCs w:val="15"/>
              </w:rPr>
              <w:t>现有工程</w:t>
            </w:r>
          </w:p>
          <w:p>
            <w:pPr>
              <w:pStyle w:val="49"/>
              <w:spacing w:beforeLines="0" w:afterLines="0" w:line="240" w:lineRule="auto"/>
              <w:rPr>
                <w:rFonts w:ascii="Times New Roman" w:eastAsia="黑体"/>
                <w:snapToGrid w:val="0"/>
                <w:spacing w:val="-6"/>
                <w:kern w:val="21"/>
                <w:szCs w:val="15"/>
              </w:rPr>
            </w:pPr>
            <w:r>
              <w:rPr>
                <w:rFonts w:ascii="Times New Roman" w:eastAsia="黑体"/>
                <w:snapToGrid w:val="0"/>
                <w:spacing w:val="-6"/>
                <w:kern w:val="21"/>
                <w:szCs w:val="15"/>
              </w:rPr>
              <w:t>排放量（固体废物产生量）</w:t>
            </w:r>
            <w:r>
              <w:rPr>
                <w:rFonts w:ascii="Times New Roman" w:eastAsia="黑体"/>
                <w:snapToGrid w:val="0"/>
                <w:spacing w:val="-6"/>
                <w:kern w:val="21"/>
                <w:szCs w:val="15"/>
              </w:rPr>
              <w:fldChar w:fldCharType="begin"/>
            </w:r>
            <w:r>
              <w:rPr>
                <w:rFonts w:ascii="Times New Roman" w:eastAsia="黑体"/>
                <w:snapToGrid w:val="0"/>
                <w:spacing w:val="-6"/>
                <w:kern w:val="21"/>
                <w:szCs w:val="15"/>
              </w:rPr>
              <w:instrText xml:space="preserve"> = 1 \* GB3 \* MERGEFORMAT </w:instrText>
            </w:r>
            <w:r>
              <w:rPr>
                <w:rFonts w:ascii="Times New Roman" w:eastAsia="黑体"/>
                <w:snapToGrid w:val="0"/>
                <w:spacing w:val="-6"/>
                <w:kern w:val="21"/>
                <w:szCs w:val="15"/>
              </w:rPr>
              <w:fldChar w:fldCharType="separate"/>
            </w:r>
            <w:r>
              <w:rPr>
                <w:rFonts w:ascii="Times New Roman" w:eastAsia="黑体"/>
                <w:kern w:val="2"/>
                <w:szCs w:val="15"/>
              </w:rPr>
              <w:t>①</w:t>
            </w:r>
            <w:r>
              <w:rPr>
                <w:rFonts w:ascii="Times New Roman" w:eastAsia="黑体"/>
                <w:snapToGrid w:val="0"/>
                <w:spacing w:val="-6"/>
                <w:kern w:val="21"/>
                <w:szCs w:val="15"/>
              </w:rPr>
              <w:fldChar w:fldCharType="end"/>
            </w:r>
          </w:p>
        </w:tc>
        <w:tc>
          <w:tcPr>
            <w:tcW w:w="1363" w:type="dxa"/>
            <w:tcMar>
              <w:left w:w="28" w:type="dxa"/>
              <w:right w:w="28" w:type="dxa"/>
            </w:tcMar>
            <w:vAlign w:val="center"/>
          </w:tcPr>
          <w:p>
            <w:pPr>
              <w:pStyle w:val="49"/>
              <w:spacing w:beforeLines="0" w:afterLines="0" w:line="240" w:lineRule="auto"/>
              <w:rPr>
                <w:rFonts w:ascii="Times New Roman" w:eastAsia="黑体"/>
                <w:snapToGrid w:val="0"/>
                <w:spacing w:val="-6"/>
                <w:kern w:val="21"/>
                <w:szCs w:val="15"/>
              </w:rPr>
            </w:pPr>
            <w:r>
              <w:rPr>
                <w:rFonts w:ascii="Times New Roman" w:eastAsia="黑体"/>
                <w:snapToGrid w:val="0"/>
                <w:spacing w:val="-6"/>
                <w:kern w:val="21"/>
                <w:szCs w:val="15"/>
              </w:rPr>
              <w:t>现有工程</w:t>
            </w:r>
          </w:p>
          <w:p>
            <w:pPr>
              <w:pStyle w:val="49"/>
              <w:spacing w:beforeLines="0" w:afterLines="0" w:line="240" w:lineRule="auto"/>
              <w:rPr>
                <w:rFonts w:ascii="Times New Roman" w:eastAsia="黑体"/>
                <w:snapToGrid w:val="0"/>
                <w:spacing w:val="-6"/>
                <w:kern w:val="21"/>
                <w:szCs w:val="15"/>
              </w:rPr>
            </w:pPr>
            <w:r>
              <w:rPr>
                <w:rFonts w:ascii="Times New Roman" w:eastAsia="黑体"/>
                <w:snapToGrid w:val="0"/>
                <w:spacing w:val="-6"/>
                <w:kern w:val="21"/>
                <w:szCs w:val="15"/>
              </w:rPr>
              <w:t>许可排放量</w:t>
            </w:r>
            <w:r>
              <w:rPr>
                <w:rFonts w:ascii="Times New Roman" w:eastAsia="黑体"/>
                <w:snapToGrid w:val="0"/>
                <w:spacing w:val="-6"/>
                <w:kern w:val="21"/>
                <w:szCs w:val="15"/>
              </w:rPr>
              <w:fldChar w:fldCharType="begin"/>
            </w:r>
            <w:r>
              <w:rPr>
                <w:rFonts w:ascii="Times New Roman" w:eastAsia="黑体"/>
                <w:snapToGrid w:val="0"/>
                <w:spacing w:val="-6"/>
                <w:kern w:val="21"/>
                <w:szCs w:val="15"/>
              </w:rPr>
              <w:instrText xml:space="preserve"> = 2 \* GB3 \* MERGEFORMAT </w:instrText>
            </w:r>
            <w:r>
              <w:rPr>
                <w:rFonts w:ascii="Times New Roman" w:eastAsia="黑体"/>
                <w:snapToGrid w:val="0"/>
                <w:spacing w:val="-6"/>
                <w:kern w:val="21"/>
                <w:szCs w:val="15"/>
              </w:rPr>
              <w:fldChar w:fldCharType="separate"/>
            </w:r>
            <w:r>
              <w:rPr>
                <w:rFonts w:ascii="Times New Roman" w:eastAsia="黑体"/>
                <w:snapToGrid w:val="0"/>
                <w:spacing w:val="-6"/>
                <w:kern w:val="21"/>
                <w:szCs w:val="15"/>
              </w:rPr>
              <w:t>②</w:t>
            </w:r>
            <w:r>
              <w:rPr>
                <w:rFonts w:ascii="Times New Roman" w:eastAsia="黑体"/>
                <w:snapToGrid w:val="0"/>
                <w:spacing w:val="-6"/>
                <w:kern w:val="21"/>
                <w:szCs w:val="15"/>
              </w:rPr>
              <w:fldChar w:fldCharType="end"/>
            </w:r>
          </w:p>
        </w:tc>
        <w:tc>
          <w:tcPr>
            <w:tcW w:w="1676" w:type="dxa"/>
            <w:tcMar>
              <w:left w:w="28" w:type="dxa"/>
              <w:right w:w="28" w:type="dxa"/>
            </w:tcMar>
            <w:vAlign w:val="center"/>
          </w:tcPr>
          <w:p>
            <w:pPr>
              <w:pStyle w:val="49"/>
              <w:spacing w:beforeLines="0" w:afterLines="0" w:line="240" w:lineRule="auto"/>
              <w:rPr>
                <w:rFonts w:ascii="Times New Roman" w:eastAsia="黑体"/>
                <w:snapToGrid w:val="0"/>
                <w:spacing w:val="-6"/>
                <w:kern w:val="21"/>
                <w:szCs w:val="15"/>
              </w:rPr>
            </w:pPr>
            <w:r>
              <w:rPr>
                <w:rFonts w:ascii="Times New Roman" w:eastAsia="黑体"/>
                <w:snapToGrid w:val="0"/>
                <w:spacing w:val="-6"/>
                <w:kern w:val="21"/>
                <w:szCs w:val="15"/>
              </w:rPr>
              <w:t>在建工程排放量（固体废物产生量）</w:t>
            </w:r>
            <w:r>
              <w:rPr>
                <w:rFonts w:ascii="Times New Roman" w:eastAsia="黑体"/>
                <w:snapToGrid w:val="0"/>
                <w:spacing w:val="-6"/>
                <w:kern w:val="21"/>
                <w:szCs w:val="15"/>
              </w:rPr>
              <w:fldChar w:fldCharType="begin"/>
            </w:r>
            <w:r>
              <w:rPr>
                <w:rFonts w:ascii="Times New Roman" w:eastAsia="黑体"/>
                <w:snapToGrid w:val="0"/>
                <w:spacing w:val="-6"/>
                <w:kern w:val="21"/>
                <w:szCs w:val="15"/>
              </w:rPr>
              <w:instrText xml:space="preserve"> = 3 \* GB3 \* MERGEFORMAT </w:instrText>
            </w:r>
            <w:r>
              <w:rPr>
                <w:rFonts w:ascii="Times New Roman" w:eastAsia="黑体"/>
                <w:snapToGrid w:val="0"/>
                <w:spacing w:val="-6"/>
                <w:kern w:val="21"/>
                <w:szCs w:val="15"/>
              </w:rPr>
              <w:fldChar w:fldCharType="separate"/>
            </w:r>
            <w:r>
              <w:rPr>
                <w:rFonts w:ascii="Times New Roman" w:eastAsia="黑体"/>
                <w:kern w:val="2"/>
                <w:szCs w:val="15"/>
              </w:rPr>
              <w:t>③</w:t>
            </w:r>
            <w:r>
              <w:rPr>
                <w:rFonts w:ascii="Times New Roman" w:eastAsia="黑体"/>
                <w:snapToGrid w:val="0"/>
                <w:spacing w:val="-6"/>
                <w:kern w:val="21"/>
                <w:szCs w:val="15"/>
              </w:rPr>
              <w:fldChar w:fldCharType="end"/>
            </w:r>
          </w:p>
        </w:tc>
        <w:tc>
          <w:tcPr>
            <w:tcW w:w="1675" w:type="dxa"/>
            <w:tcMar>
              <w:left w:w="28" w:type="dxa"/>
              <w:right w:w="28" w:type="dxa"/>
            </w:tcMar>
            <w:vAlign w:val="center"/>
          </w:tcPr>
          <w:p>
            <w:pPr>
              <w:pStyle w:val="49"/>
              <w:spacing w:beforeLines="0" w:afterLines="0" w:line="240" w:lineRule="auto"/>
              <w:rPr>
                <w:rFonts w:ascii="Times New Roman" w:eastAsia="黑体"/>
                <w:snapToGrid w:val="0"/>
                <w:spacing w:val="-6"/>
                <w:kern w:val="21"/>
                <w:szCs w:val="15"/>
              </w:rPr>
            </w:pPr>
            <w:r>
              <w:rPr>
                <w:rFonts w:ascii="Times New Roman" w:eastAsia="黑体"/>
                <w:snapToGrid w:val="0"/>
                <w:spacing w:val="-6"/>
                <w:kern w:val="21"/>
                <w:szCs w:val="15"/>
              </w:rPr>
              <w:t>本项目排放量（固体废物产生量）</w:t>
            </w:r>
            <w:r>
              <w:rPr>
                <w:rFonts w:ascii="Times New Roman" w:eastAsia="黑体"/>
                <w:snapToGrid w:val="0"/>
                <w:spacing w:val="-6"/>
                <w:kern w:val="21"/>
                <w:szCs w:val="15"/>
              </w:rPr>
              <w:fldChar w:fldCharType="begin"/>
            </w:r>
            <w:r>
              <w:rPr>
                <w:rFonts w:ascii="Times New Roman" w:eastAsia="黑体"/>
                <w:snapToGrid w:val="0"/>
                <w:spacing w:val="-6"/>
                <w:kern w:val="21"/>
                <w:szCs w:val="15"/>
              </w:rPr>
              <w:instrText xml:space="preserve"> = 4 \* GB3 \* MERGEFORMAT </w:instrText>
            </w:r>
            <w:r>
              <w:rPr>
                <w:rFonts w:ascii="Times New Roman" w:eastAsia="黑体"/>
                <w:snapToGrid w:val="0"/>
                <w:spacing w:val="-6"/>
                <w:kern w:val="21"/>
                <w:szCs w:val="15"/>
              </w:rPr>
              <w:fldChar w:fldCharType="separate"/>
            </w:r>
            <w:r>
              <w:rPr>
                <w:rFonts w:ascii="Times New Roman" w:eastAsia="黑体"/>
                <w:kern w:val="2"/>
                <w:szCs w:val="15"/>
              </w:rPr>
              <w:t>④</w:t>
            </w:r>
            <w:r>
              <w:rPr>
                <w:rFonts w:ascii="Times New Roman" w:eastAsia="黑体"/>
                <w:snapToGrid w:val="0"/>
                <w:spacing w:val="-6"/>
                <w:kern w:val="21"/>
                <w:szCs w:val="15"/>
              </w:rPr>
              <w:fldChar w:fldCharType="end"/>
            </w:r>
          </w:p>
        </w:tc>
        <w:tc>
          <w:tcPr>
            <w:tcW w:w="1520" w:type="dxa"/>
            <w:tcMar>
              <w:left w:w="28" w:type="dxa"/>
              <w:right w:w="28" w:type="dxa"/>
            </w:tcMar>
            <w:vAlign w:val="center"/>
          </w:tcPr>
          <w:p>
            <w:pPr>
              <w:pStyle w:val="49"/>
              <w:spacing w:beforeLines="0" w:afterLines="0" w:line="240" w:lineRule="auto"/>
              <w:rPr>
                <w:rFonts w:ascii="Times New Roman" w:eastAsia="黑体"/>
                <w:snapToGrid w:val="0"/>
                <w:spacing w:val="-16"/>
                <w:kern w:val="21"/>
                <w:szCs w:val="15"/>
              </w:rPr>
            </w:pPr>
            <w:r>
              <w:rPr>
                <w:rFonts w:ascii="Times New Roman" w:eastAsia="黑体"/>
                <w:snapToGrid w:val="0"/>
                <w:spacing w:val="-16"/>
                <w:kern w:val="21"/>
                <w:szCs w:val="15"/>
              </w:rPr>
              <w:t>以新带老削减量（新建项目不填）</w:t>
            </w:r>
            <w:r>
              <w:rPr>
                <w:rFonts w:ascii="Times New Roman" w:eastAsia="黑体"/>
                <w:snapToGrid w:val="0"/>
                <w:spacing w:val="-16"/>
                <w:kern w:val="21"/>
                <w:szCs w:val="15"/>
              </w:rPr>
              <w:fldChar w:fldCharType="begin"/>
            </w:r>
            <w:r>
              <w:rPr>
                <w:rFonts w:ascii="Times New Roman" w:eastAsia="黑体"/>
                <w:snapToGrid w:val="0"/>
                <w:spacing w:val="-16"/>
                <w:kern w:val="21"/>
                <w:szCs w:val="15"/>
              </w:rPr>
              <w:instrText xml:space="preserve"> = 5 \* GB3 \* MERGEFORMAT </w:instrText>
            </w:r>
            <w:r>
              <w:rPr>
                <w:rFonts w:ascii="Times New Roman" w:eastAsia="黑体"/>
                <w:snapToGrid w:val="0"/>
                <w:spacing w:val="-16"/>
                <w:kern w:val="21"/>
                <w:szCs w:val="15"/>
              </w:rPr>
              <w:fldChar w:fldCharType="separate"/>
            </w:r>
            <w:r>
              <w:rPr>
                <w:rFonts w:ascii="Times New Roman" w:eastAsia="黑体"/>
                <w:kern w:val="2"/>
                <w:szCs w:val="15"/>
              </w:rPr>
              <w:t>⑤</w:t>
            </w:r>
            <w:r>
              <w:rPr>
                <w:rFonts w:ascii="Times New Roman" w:eastAsia="黑体"/>
                <w:snapToGrid w:val="0"/>
                <w:spacing w:val="-16"/>
                <w:kern w:val="21"/>
                <w:szCs w:val="15"/>
              </w:rPr>
              <w:fldChar w:fldCharType="end"/>
            </w:r>
          </w:p>
        </w:tc>
        <w:tc>
          <w:tcPr>
            <w:tcW w:w="1791" w:type="dxa"/>
            <w:tcMar>
              <w:left w:w="28" w:type="dxa"/>
              <w:right w:w="28" w:type="dxa"/>
            </w:tcMar>
            <w:vAlign w:val="center"/>
          </w:tcPr>
          <w:p>
            <w:pPr>
              <w:pStyle w:val="49"/>
              <w:spacing w:beforeLines="0" w:afterLines="0" w:line="240" w:lineRule="auto"/>
              <w:rPr>
                <w:rFonts w:ascii="Times New Roman" w:eastAsia="黑体"/>
                <w:snapToGrid w:val="0"/>
                <w:spacing w:val="-16"/>
                <w:kern w:val="21"/>
                <w:szCs w:val="15"/>
              </w:rPr>
            </w:pPr>
            <w:r>
              <w:rPr>
                <w:rFonts w:ascii="Times New Roman" w:eastAsia="黑体"/>
                <w:snapToGrid w:val="0"/>
                <w:spacing w:val="-16"/>
                <w:kern w:val="21"/>
                <w:szCs w:val="15"/>
              </w:rPr>
              <w:t>本项目建成后全厂排放量（固体废物产生量）</w:t>
            </w:r>
            <w:r>
              <w:rPr>
                <w:rFonts w:ascii="Times New Roman" w:eastAsia="黑体"/>
                <w:snapToGrid w:val="0"/>
                <w:spacing w:val="-16"/>
                <w:kern w:val="21"/>
                <w:szCs w:val="15"/>
              </w:rPr>
              <w:fldChar w:fldCharType="begin"/>
            </w:r>
            <w:r>
              <w:rPr>
                <w:rFonts w:ascii="Times New Roman" w:eastAsia="黑体"/>
                <w:snapToGrid w:val="0"/>
                <w:spacing w:val="-16"/>
                <w:kern w:val="21"/>
                <w:szCs w:val="15"/>
              </w:rPr>
              <w:instrText xml:space="preserve"> = 6 \* GB3 \* MERGEFORMAT </w:instrText>
            </w:r>
            <w:r>
              <w:rPr>
                <w:rFonts w:ascii="Times New Roman" w:eastAsia="黑体"/>
                <w:snapToGrid w:val="0"/>
                <w:spacing w:val="-16"/>
                <w:kern w:val="21"/>
                <w:szCs w:val="15"/>
              </w:rPr>
              <w:fldChar w:fldCharType="separate"/>
            </w:r>
            <w:r>
              <w:rPr>
                <w:rFonts w:ascii="Times New Roman" w:eastAsia="黑体"/>
                <w:kern w:val="2"/>
                <w:szCs w:val="15"/>
              </w:rPr>
              <w:t>⑥</w:t>
            </w:r>
            <w:r>
              <w:rPr>
                <w:rFonts w:ascii="Times New Roman" w:eastAsia="黑体"/>
                <w:snapToGrid w:val="0"/>
                <w:spacing w:val="-16"/>
                <w:kern w:val="21"/>
                <w:szCs w:val="15"/>
              </w:rPr>
              <w:fldChar w:fldCharType="end"/>
            </w:r>
          </w:p>
        </w:tc>
        <w:tc>
          <w:tcPr>
            <w:tcW w:w="1664" w:type="dxa"/>
            <w:tcMar>
              <w:left w:w="28" w:type="dxa"/>
              <w:right w:w="28" w:type="dxa"/>
            </w:tcMar>
            <w:vAlign w:val="center"/>
          </w:tcPr>
          <w:p>
            <w:pPr>
              <w:pStyle w:val="49"/>
              <w:spacing w:beforeLines="0" w:afterLines="0" w:line="240" w:lineRule="auto"/>
              <w:rPr>
                <w:rFonts w:ascii="Times New Roman" w:eastAsia="黑体"/>
                <w:snapToGrid w:val="0"/>
                <w:spacing w:val="-6"/>
                <w:kern w:val="21"/>
                <w:szCs w:val="15"/>
              </w:rPr>
            </w:pPr>
            <w:r>
              <w:rPr>
                <w:rFonts w:ascii="Times New Roman" w:eastAsia="黑体"/>
                <w:snapToGrid w:val="0"/>
                <w:spacing w:val="-6"/>
                <w:kern w:val="21"/>
                <w:szCs w:val="15"/>
              </w:rPr>
              <w:t>变化量</w:t>
            </w:r>
          </w:p>
          <w:p>
            <w:pPr>
              <w:pStyle w:val="49"/>
              <w:spacing w:beforeLines="0" w:afterLines="0" w:line="240" w:lineRule="auto"/>
              <w:rPr>
                <w:rFonts w:ascii="Times New Roman" w:eastAsia="黑体"/>
                <w:snapToGrid w:val="0"/>
                <w:spacing w:val="-6"/>
                <w:kern w:val="21"/>
                <w:szCs w:val="15"/>
              </w:rPr>
            </w:pPr>
            <w:r>
              <w:rPr>
                <w:rFonts w:ascii="Times New Roman" w:eastAsia="黑体"/>
                <w:snapToGrid w:val="0"/>
                <w:spacing w:val="-6"/>
                <w:kern w:val="21"/>
                <w:szCs w:val="15"/>
              </w:rPr>
              <w:fldChar w:fldCharType="begin"/>
            </w:r>
            <w:r>
              <w:rPr>
                <w:rFonts w:ascii="Times New Roman" w:eastAsia="黑体"/>
                <w:snapToGrid w:val="0"/>
                <w:spacing w:val="-6"/>
                <w:kern w:val="21"/>
                <w:szCs w:val="15"/>
              </w:rPr>
              <w:instrText xml:space="preserve"> = 7 \* GB3 \* MERGEFORMAT </w:instrText>
            </w:r>
            <w:r>
              <w:rPr>
                <w:rFonts w:ascii="Times New Roman" w:eastAsia="黑体"/>
                <w:snapToGrid w:val="0"/>
                <w:spacing w:val="-6"/>
                <w:kern w:val="21"/>
                <w:szCs w:val="15"/>
              </w:rPr>
              <w:fldChar w:fldCharType="separate"/>
            </w:r>
            <w:r>
              <w:rPr>
                <w:rFonts w:ascii="Times New Roman" w:eastAsia="黑体"/>
                <w:kern w:val="2"/>
                <w:szCs w:val="15"/>
              </w:rPr>
              <w:t>⑦</w:t>
            </w:r>
            <w:r>
              <w:rPr>
                <w:rFonts w:ascii="Times New Roman" w:eastAsia="黑体"/>
                <w:snapToGrid w:val="0"/>
                <w:spacing w:val="-6"/>
                <w:kern w:val="21"/>
                <w:szCs w:val="15"/>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1" w:type="dxa"/>
            <w:vAlign w:val="center"/>
          </w:tcPr>
          <w:p>
            <w:pPr>
              <w:pStyle w:val="49"/>
              <w:spacing w:beforeLines="0" w:afterLines="0" w:line="240" w:lineRule="auto"/>
              <w:rPr>
                <w:rFonts w:ascii="Times New Roman"/>
                <w:snapToGrid w:val="0"/>
                <w:kern w:val="21"/>
                <w:szCs w:val="21"/>
              </w:rPr>
            </w:pPr>
            <w:r>
              <w:rPr>
                <w:rFonts w:ascii="Times New Roman"/>
                <w:snapToGrid w:val="0"/>
                <w:kern w:val="21"/>
                <w:szCs w:val="21"/>
              </w:rPr>
              <w:t>废气</w:t>
            </w:r>
          </w:p>
        </w:tc>
        <w:tc>
          <w:tcPr>
            <w:tcW w:w="1473" w:type="dxa"/>
            <w:vAlign w:val="center"/>
          </w:tcPr>
          <w:p>
            <w:pPr>
              <w:pStyle w:val="49"/>
              <w:spacing w:beforeLines="0" w:afterLines="0" w:line="240" w:lineRule="auto"/>
              <w:rPr>
                <w:rFonts w:ascii="Times New Roman"/>
                <w:snapToGrid w:val="0"/>
                <w:kern w:val="21"/>
                <w:szCs w:val="21"/>
              </w:rPr>
            </w:pPr>
            <w:r>
              <w:rPr>
                <w:rFonts w:hint="eastAsia" w:ascii="Times New Roman"/>
                <w:snapToGrid w:val="0"/>
                <w:kern w:val="21"/>
                <w:szCs w:val="21"/>
              </w:rPr>
              <w:t>颗粒物</w:t>
            </w:r>
          </w:p>
        </w:tc>
        <w:tc>
          <w:tcPr>
            <w:tcW w:w="1395" w:type="dxa"/>
            <w:vAlign w:val="center"/>
          </w:tcPr>
          <w:p>
            <w:pPr>
              <w:jc w:val="center"/>
              <w:rPr>
                <w:bCs/>
                <w:szCs w:val="21"/>
              </w:rPr>
            </w:pPr>
            <w:r>
              <w:rPr>
                <w:rFonts w:hint="eastAsia"/>
                <w:snapToGrid w:val="0"/>
                <w:kern w:val="21"/>
                <w:szCs w:val="21"/>
              </w:rPr>
              <w:t>/</w:t>
            </w:r>
          </w:p>
        </w:tc>
        <w:tc>
          <w:tcPr>
            <w:tcW w:w="1363" w:type="dxa"/>
            <w:vAlign w:val="center"/>
          </w:tcPr>
          <w:p>
            <w:pPr>
              <w:jc w:val="center"/>
              <w:rPr>
                <w:snapToGrid w:val="0"/>
                <w:kern w:val="21"/>
                <w:szCs w:val="21"/>
              </w:rPr>
            </w:pPr>
            <w:r>
              <w:rPr>
                <w:rFonts w:hint="eastAsia"/>
                <w:snapToGrid w:val="0"/>
                <w:kern w:val="21"/>
                <w:szCs w:val="21"/>
              </w:rPr>
              <w:t>/</w:t>
            </w:r>
          </w:p>
        </w:tc>
        <w:tc>
          <w:tcPr>
            <w:tcW w:w="1676" w:type="dxa"/>
            <w:vAlign w:val="center"/>
          </w:tcPr>
          <w:p>
            <w:pPr>
              <w:jc w:val="center"/>
              <w:rPr>
                <w:snapToGrid w:val="0"/>
                <w:kern w:val="21"/>
                <w:szCs w:val="21"/>
              </w:rPr>
            </w:pPr>
            <w:r>
              <w:rPr>
                <w:rFonts w:hint="eastAsia"/>
                <w:snapToGrid w:val="0"/>
                <w:kern w:val="21"/>
                <w:szCs w:val="21"/>
              </w:rPr>
              <w:t>/</w:t>
            </w:r>
          </w:p>
        </w:tc>
        <w:tc>
          <w:tcPr>
            <w:tcW w:w="1675" w:type="dxa"/>
            <w:vAlign w:val="center"/>
          </w:tcPr>
          <w:p>
            <w:pPr>
              <w:pStyle w:val="49"/>
              <w:spacing w:beforeLines="0" w:afterLines="0" w:line="240" w:lineRule="auto"/>
              <w:rPr>
                <w:rFonts w:ascii="Times New Roman"/>
                <w:snapToGrid w:val="0"/>
                <w:kern w:val="21"/>
                <w:szCs w:val="21"/>
              </w:rPr>
            </w:pPr>
            <w:r>
              <w:rPr>
                <w:rFonts w:hint="eastAsia" w:ascii="Times New Roman"/>
                <w:snapToGrid w:val="0"/>
                <w:kern w:val="21"/>
                <w:szCs w:val="21"/>
              </w:rPr>
              <w:t>0.</w:t>
            </w:r>
            <w:r>
              <w:rPr>
                <w:rFonts w:ascii="Times New Roman"/>
                <w:snapToGrid w:val="0"/>
                <w:kern w:val="21"/>
                <w:szCs w:val="21"/>
              </w:rPr>
              <w:t>975</w:t>
            </w:r>
            <w:r>
              <w:rPr>
                <w:rFonts w:hint="eastAsia" w:ascii="Times New Roman"/>
                <w:snapToGrid w:val="0"/>
                <w:kern w:val="21"/>
                <w:szCs w:val="21"/>
              </w:rPr>
              <w:t>t/a</w:t>
            </w:r>
          </w:p>
        </w:tc>
        <w:tc>
          <w:tcPr>
            <w:tcW w:w="1520" w:type="dxa"/>
            <w:vAlign w:val="center"/>
          </w:tcPr>
          <w:p>
            <w:pPr>
              <w:jc w:val="center"/>
              <w:rPr>
                <w:snapToGrid w:val="0"/>
                <w:kern w:val="21"/>
                <w:szCs w:val="21"/>
              </w:rPr>
            </w:pPr>
            <w:r>
              <w:rPr>
                <w:rFonts w:hint="eastAsia"/>
                <w:snapToGrid w:val="0"/>
                <w:kern w:val="21"/>
                <w:szCs w:val="21"/>
              </w:rPr>
              <w:t>/</w:t>
            </w:r>
          </w:p>
        </w:tc>
        <w:tc>
          <w:tcPr>
            <w:tcW w:w="1791" w:type="dxa"/>
            <w:vAlign w:val="center"/>
          </w:tcPr>
          <w:p>
            <w:pPr>
              <w:pStyle w:val="49"/>
              <w:spacing w:beforeLines="0" w:afterLines="0" w:line="240" w:lineRule="auto"/>
              <w:rPr>
                <w:rFonts w:ascii="Times New Roman"/>
                <w:snapToGrid w:val="0"/>
                <w:kern w:val="21"/>
                <w:szCs w:val="21"/>
              </w:rPr>
            </w:pPr>
            <w:r>
              <w:rPr>
                <w:rFonts w:hint="eastAsia" w:ascii="Times New Roman"/>
                <w:snapToGrid w:val="0"/>
                <w:kern w:val="21"/>
                <w:szCs w:val="21"/>
              </w:rPr>
              <w:t>0.</w:t>
            </w:r>
            <w:r>
              <w:rPr>
                <w:rFonts w:ascii="Times New Roman"/>
                <w:snapToGrid w:val="0"/>
                <w:kern w:val="21"/>
                <w:szCs w:val="21"/>
              </w:rPr>
              <w:t>975</w:t>
            </w:r>
            <w:r>
              <w:rPr>
                <w:rFonts w:hint="eastAsia" w:ascii="Times New Roman"/>
                <w:snapToGrid w:val="0"/>
                <w:kern w:val="21"/>
                <w:szCs w:val="21"/>
              </w:rPr>
              <w:t>t/a</w:t>
            </w:r>
          </w:p>
        </w:tc>
        <w:tc>
          <w:tcPr>
            <w:tcW w:w="1664" w:type="dxa"/>
            <w:vAlign w:val="center"/>
          </w:tcPr>
          <w:p>
            <w:pPr>
              <w:pStyle w:val="49"/>
              <w:spacing w:beforeLines="0" w:afterLines="0" w:line="240" w:lineRule="auto"/>
              <w:rPr>
                <w:rFonts w:ascii="Times New Roman"/>
                <w:snapToGrid w:val="0"/>
                <w:kern w:val="21"/>
                <w:szCs w:val="21"/>
              </w:rPr>
            </w:pPr>
            <w:r>
              <w:rPr>
                <w:rFonts w:hint="eastAsia" w:ascii="Times New Roman"/>
                <w:snapToGrid w:val="0"/>
                <w:kern w:val="21"/>
                <w:szCs w:val="21"/>
              </w:rPr>
              <w:t>+0.</w:t>
            </w:r>
            <w:r>
              <w:rPr>
                <w:rFonts w:ascii="Times New Roman"/>
                <w:snapToGrid w:val="0"/>
                <w:kern w:val="21"/>
                <w:szCs w:val="21"/>
              </w:rPr>
              <w:t>975</w:t>
            </w:r>
            <w:r>
              <w:rPr>
                <w:rFonts w:hint="eastAsia" w:ascii="Times New Roman"/>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1" w:type="dxa"/>
            <w:vAlign w:val="center"/>
          </w:tcPr>
          <w:p>
            <w:pPr>
              <w:pStyle w:val="49"/>
              <w:spacing w:beforeLines="0" w:afterLines="0" w:line="240" w:lineRule="auto"/>
              <w:rPr>
                <w:rFonts w:ascii="Times New Roman"/>
                <w:snapToGrid w:val="0"/>
                <w:kern w:val="21"/>
                <w:szCs w:val="21"/>
              </w:rPr>
            </w:pPr>
            <w:r>
              <w:rPr>
                <w:rFonts w:ascii="Times New Roman"/>
                <w:snapToGrid w:val="0"/>
                <w:kern w:val="21"/>
                <w:szCs w:val="21"/>
              </w:rPr>
              <w:t>废水</w:t>
            </w:r>
          </w:p>
        </w:tc>
        <w:tc>
          <w:tcPr>
            <w:tcW w:w="1473" w:type="dxa"/>
            <w:vAlign w:val="center"/>
          </w:tcPr>
          <w:p>
            <w:pPr>
              <w:pStyle w:val="49"/>
              <w:spacing w:beforeLines="0" w:afterLines="0" w:line="240" w:lineRule="auto"/>
              <w:rPr>
                <w:rFonts w:ascii="Times New Roman"/>
                <w:snapToGrid w:val="0"/>
                <w:kern w:val="21"/>
                <w:szCs w:val="21"/>
              </w:rPr>
            </w:pPr>
            <w:r>
              <w:rPr>
                <w:rFonts w:ascii="Times New Roman"/>
                <w:szCs w:val="21"/>
              </w:rPr>
              <w:t>/</w:t>
            </w:r>
          </w:p>
        </w:tc>
        <w:tc>
          <w:tcPr>
            <w:tcW w:w="1395" w:type="dxa"/>
            <w:vAlign w:val="center"/>
          </w:tcPr>
          <w:p>
            <w:pPr>
              <w:jc w:val="center"/>
              <w:rPr>
                <w:snapToGrid w:val="0"/>
                <w:kern w:val="21"/>
                <w:szCs w:val="21"/>
              </w:rPr>
            </w:pPr>
            <w:r>
              <w:rPr>
                <w:rFonts w:hint="eastAsia"/>
                <w:snapToGrid w:val="0"/>
                <w:kern w:val="21"/>
                <w:szCs w:val="21"/>
              </w:rPr>
              <w:t>/</w:t>
            </w:r>
          </w:p>
        </w:tc>
        <w:tc>
          <w:tcPr>
            <w:tcW w:w="1363" w:type="dxa"/>
            <w:vAlign w:val="center"/>
          </w:tcPr>
          <w:p>
            <w:pPr>
              <w:jc w:val="center"/>
              <w:rPr>
                <w:snapToGrid w:val="0"/>
                <w:kern w:val="21"/>
                <w:szCs w:val="21"/>
              </w:rPr>
            </w:pPr>
            <w:r>
              <w:rPr>
                <w:snapToGrid w:val="0"/>
                <w:kern w:val="21"/>
                <w:szCs w:val="21"/>
              </w:rPr>
              <w:t>/</w:t>
            </w:r>
          </w:p>
        </w:tc>
        <w:tc>
          <w:tcPr>
            <w:tcW w:w="1676" w:type="dxa"/>
            <w:vAlign w:val="center"/>
          </w:tcPr>
          <w:p>
            <w:pPr>
              <w:jc w:val="center"/>
              <w:rPr>
                <w:snapToGrid w:val="0"/>
                <w:kern w:val="21"/>
                <w:szCs w:val="21"/>
              </w:rPr>
            </w:pPr>
            <w:r>
              <w:rPr>
                <w:snapToGrid w:val="0"/>
                <w:kern w:val="21"/>
                <w:szCs w:val="21"/>
              </w:rPr>
              <w:t>/</w:t>
            </w:r>
          </w:p>
        </w:tc>
        <w:tc>
          <w:tcPr>
            <w:tcW w:w="1675" w:type="dxa"/>
            <w:vAlign w:val="center"/>
          </w:tcPr>
          <w:p>
            <w:pPr>
              <w:pStyle w:val="49"/>
              <w:spacing w:beforeLines="0" w:afterLines="0" w:line="240" w:lineRule="auto"/>
              <w:rPr>
                <w:rFonts w:ascii="Times New Roman"/>
                <w:snapToGrid w:val="0"/>
                <w:kern w:val="21"/>
                <w:szCs w:val="21"/>
              </w:rPr>
            </w:pPr>
            <w:r>
              <w:rPr>
                <w:rFonts w:ascii="Times New Roman"/>
                <w:bCs/>
                <w:szCs w:val="21"/>
              </w:rPr>
              <w:t>0</w:t>
            </w:r>
            <w:r>
              <w:rPr>
                <w:rFonts w:ascii="Times New Roman"/>
                <w:szCs w:val="21"/>
              </w:rPr>
              <w:t>t/a</w:t>
            </w:r>
          </w:p>
        </w:tc>
        <w:tc>
          <w:tcPr>
            <w:tcW w:w="1520" w:type="dxa"/>
            <w:vAlign w:val="center"/>
          </w:tcPr>
          <w:p>
            <w:pPr>
              <w:jc w:val="center"/>
              <w:rPr>
                <w:snapToGrid w:val="0"/>
                <w:kern w:val="21"/>
                <w:szCs w:val="21"/>
              </w:rPr>
            </w:pPr>
            <w:r>
              <w:rPr>
                <w:snapToGrid w:val="0"/>
                <w:kern w:val="21"/>
                <w:szCs w:val="21"/>
              </w:rPr>
              <w:t>/</w:t>
            </w:r>
          </w:p>
        </w:tc>
        <w:tc>
          <w:tcPr>
            <w:tcW w:w="1791" w:type="dxa"/>
            <w:vAlign w:val="center"/>
          </w:tcPr>
          <w:p>
            <w:pPr>
              <w:pStyle w:val="49"/>
              <w:spacing w:beforeLines="0" w:afterLines="0" w:line="240" w:lineRule="auto"/>
              <w:rPr>
                <w:rFonts w:ascii="Times New Roman"/>
                <w:snapToGrid w:val="0"/>
                <w:kern w:val="21"/>
                <w:szCs w:val="21"/>
              </w:rPr>
            </w:pPr>
            <w:r>
              <w:rPr>
                <w:rFonts w:ascii="Times New Roman"/>
                <w:bCs/>
                <w:szCs w:val="21"/>
              </w:rPr>
              <w:t>0</w:t>
            </w:r>
            <w:r>
              <w:rPr>
                <w:rFonts w:ascii="Times New Roman"/>
                <w:szCs w:val="21"/>
              </w:rPr>
              <w:t>t/a</w:t>
            </w:r>
          </w:p>
        </w:tc>
        <w:tc>
          <w:tcPr>
            <w:tcW w:w="1664" w:type="dxa"/>
            <w:vAlign w:val="center"/>
          </w:tcPr>
          <w:p>
            <w:pPr>
              <w:pStyle w:val="49"/>
              <w:spacing w:beforeLines="0" w:afterLines="0" w:line="240" w:lineRule="auto"/>
              <w:rPr>
                <w:rFonts w:ascii="Times New Roman"/>
                <w:snapToGrid w:val="0"/>
                <w:kern w:val="21"/>
                <w:szCs w:val="21"/>
              </w:rPr>
            </w:pPr>
            <w:r>
              <w:rPr>
                <w:rFonts w:ascii="Times New Roman"/>
                <w:bCs/>
                <w:szCs w:val="21"/>
              </w:rPr>
              <w:t>0</w:t>
            </w:r>
            <w:r>
              <w:rPr>
                <w:rFonts w:ascii="Times New Roman"/>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1" w:type="dxa"/>
            <w:vMerge w:val="restart"/>
            <w:vAlign w:val="center"/>
          </w:tcPr>
          <w:p>
            <w:pPr>
              <w:pStyle w:val="49"/>
              <w:spacing w:beforeLines="0" w:afterLines="0" w:line="240" w:lineRule="auto"/>
              <w:rPr>
                <w:rFonts w:ascii="Times New Roman"/>
                <w:snapToGrid w:val="0"/>
                <w:kern w:val="21"/>
                <w:szCs w:val="21"/>
              </w:rPr>
            </w:pPr>
            <w:r>
              <w:rPr>
                <w:rFonts w:ascii="Times New Roman"/>
                <w:snapToGrid w:val="0"/>
                <w:kern w:val="21"/>
                <w:szCs w:val="21"/>
              </w:rPr>
              <w:t>一般工业</w:t>
            </w:r>
          </w:p>
          <w:p>
            <w:pPr>
              <w:pStyle w:val="49"/>
              <w:spacing w:beforeLines="0" w:afterLines="0" w:line="240" w:lineRule="auto"/>
              <w:rPr>
                <w:rFonts w:ascii="Times New Roman"/>
                <w:snapToGrid w:val="0"/>
                <w:kern w:val="21"/>
                <w:szCs w:val="21"/>
              </w:rPr>
            </w:pPr>
            <w:r>
              <w:rPr>
                <w:rFonts w:ascii="Times New Roman"/>
                <w:snapToGrid w:val="0"/>
                <w:kern w:val="21"/>
                <w:szCs w:val="21"/>
              </w:rPr>
              <w:t>固体废物</w:t>
            </w:r>
          </w:p>
        </w:tc>
        <w:tc>
          <w:tcPr>
            <w:tcW w:w="1473" w:type="dxa"/>
            <w:vAlign w:val="center"/>
          </w:tcPr>
          <w:p>
            <w:pPr>
              <w:snapToGrid w:val="0"/>
              <w:spacing w:line="240" w:lineRule="exact"/>
              <w:jc w:val="center"/>
              <w:rPr>
                <w:szCs w:val="21"/>
              </w:rPr>
            </w:pPr>
            <w:r>
              <w:rPr>
                <w:rFonts w:hint="eastAsia"/>
                <w:szCs w:val="21"/>
              </w:rPr>
              <w:t>布袋除尘器收尘</w:t>
            </w:r>
          </w:p>
        </w:tc>
        <w:tc>
          <w:tcPr>
            <w:tcW w:w="1395" w:type="dxa"/>
            <w:vAlign w:val="center"/>
          </w:tcPr>
          <w:p>
            <w:pPr>
              <w:jc w:val="center"/>
              <w:rPr>
                <w:snapToGrid w:val="0"/>
                <w:kern w:val="21"/>
                <w:szCs w:val="21"/>
              </w:rPr>
            </w:pPr>
            <w:r>
              <w:rPr>
                <w:rFonts w:hint="eastAsia"/>
                <w:snapToGrid w:val="0"/>
                <w:kern w:val="21"/>
                <w:szCs w:val="21"/>
              </w:rPr>
              <w:t>/</w:t>
            </w:r>
          </w:p>
        </w:tc>
        <w:tc>
          <w:tcPr>
            <w:tcW w:w="1363" w:type="dxa"/>
            <w:vAlign w:val="center"/>
          </w:tcPr>
          <w:p>
            <w:pPr>
              <w:jc w:val="center"/>
              <w:rPr>
                <w:snapToGrid w:val="0"/>
                <w:kern w:val="21"/>
                <w:szCs w:val="21"/>
              </w:rPr>
            </w:pPr>
            <w:r>
              <w:rPr>
                <w:snapToGrid w:val="0"/>
                <w:kern w:val="21"/>
                <w:szCs w:val="21"/>
              </w:rPr>
              <w:t>/</w:t>
            </w:r>
          </w:p>
        </w:tc>
        <w:tc>
          <w:tcPr>
            <w:tcW w:w="1676" w:type="dxa"/>
            <w:vAlign w:val="center"/>
          </w:tcPr>
          <w:p>
            <w:pPr>
              <w:jc w:val="center"/>
              <w:rPr>
                <w:snapToGrid w:val="0"/>
                <w:kern w:val="21"/>
                <w:szCs w:val="21"/>
              </w:rPr>
            </w:pPr>
            <w:r>
              <w:rPr>
                <w:snapToGrid w:val="0"/>
                <w:kern w:val="21"/>
                <w:szCs w:val="21"/>
              </w:rPr>
              <w:t>/</w:t>
            </w:r>
          </w:p>
        </w:tc>
        <w:tc>
          <w:tcPr>
            <w:tcW w:w="1675" w:type="dxa"/>
            <w:vAlign w:val="center"/>
          </w:tcPr>
          <w:p>
            <w:pPr>
              <w:pStyle w:val="49"/>
              <w:spacing w:beforeLines="0" w:afterLines="0" w:line="240" w:lineRule="auto"/>
              <w:rPr>
                <w:rFonts w:ascii="Times New Roman"/>
                <w:snapToGrid w:val="0"/>
                <w:kern w:val="21"/>
                <w:szCs w:val="21"/>
              </w:rPr>
            </w:pPr>
            <w:r>
              <w:rPr>
                <w:rFonts w:ascii="Times New Roman"/>
                <w:snapToGrid w:val="0"/>
                <w:kern w:val="21"/>
                <w:szCs w:val="21"/>
              </w:rPr>
              <w:t>96.56t/a</w:t>
            </w:r>
          </w:p>
        </w:tc>
        <w:tc>
          <w:tcPr>
            <w:tcW w:w="1520" w:type="dxa"/>
            <w:vAlign w:val="center"/>
          </w:tcPr>
          <w:p>
            <w:pPr>
              <w:jc w:val="center"/>
              <w:rPr>
                <w:snapToGrid w:val="0"/>
                <w:kern w:val="21"/>
                <w:szCs w:val="21"/>
              </w:rPr>
            </w:pPr>
            <w:r>
              <w:rPr>
                <w:snapToGrid w:val="0"/>
                <w:kern w:val="21"/>
                <w:szCs w:val="21"/>
              </w:rPr>
              <w:t>/</w:t>
            </w:r>
          </w:p>
        </w:tc>
        <w:tc>
          <w:tcPr>
            <w:tcW w:w="1791" w:type="dxa"/>
            <w:vAlign w:val="center"/>
          </w:tcPr>
          <w:p>
            <w:pPr>
              <w:pStyle w:val="49"/>
              <w:spacing w:beforeLines="0" w:afterLines="0" w:line="240" w:lineRule="auto"/>
              <w:rPr>
                <w:rFonts w:ascii="Times New Roman"/>
                <w:snapToGrid w:val="0"/>
                <w:kern w:val="21"/>
                <w:szCs w:val="21"/>
              </w:rPr>
            </w:pPr>
            <w:r>
              <w:rPr>
                <w:rFonts w:ascii="Times New Roman"/>
                <w:snapToGrid w:val="0"/>
                <w:kern w:val="21"/>
                <w:szCs w:val="21"/>
              </w:rPr>
              <w:t>96.56t/a</w:t>
            </w:r>
          </w:p>
        </w:tc>
        <w:tc>
          <w:tcPr>
            <w:tcW w:w="1664" w:type="dxa"/>
            <w:vAlign w:val="center"/>
          </w:tcPr>
          <w:p>
            <w:pPr>
              <w:pStyle w:val="49"/>
              <w:spacing w:beforeLines="0" w:afterLines="0" w:line="240" w:lineRule="auto"/>
              <w:rPr>
                <w:rFonts w:ascii="Times New Roman"/>
                <w:snapToGrid w:val="0"/>
                <w:kern w:val="21"/>
                <w:szCs w:val="21"/>
              </w:rPr>
            </w:pPr>
            <w:r>
              <w:rPr>
                <w:rFonts w:hint="eastAsia" w:ascii="Times New Roman"/>
                <w:snapToGrid w:val="0"/>
                <w:kern w:val="21"/>
                <w:szCs w:val="21"/>
              </w:rPr>
              <w:t>+</w:t>
            </w:r>
            <w:r>
              <w:rPr>
                <w:rFonts w:ascii="Times New Roman"/>
                <w:snapToGrid w:val="0"/>
                <w:kern w:val="21"/>
                <w:szCs w:val="21"/>
              </w:rPr>
              <w:t>96.56t/a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1" w:type="dxa"/>
            <w:vMerge w:val="continue"/>
            <w:vAlign w:val="center"/>
          </w:tcPr>
          <w:p>
            <w:pPr>
              <w:pStyle w:val="49"/>
              <w:spacing w:beforeLines="0" w:afterLines="0" w:line="240" w:lineRule="auto"/>
              <w:rPr>
                <w:rFonts w:ascii="Times New Roman"/>
                <w:snapToGrid w:val="0"/>
                <w:kern w:val="21"/>
                <w:szCs w:val="21"/>
              </w:rPr>
            </w:pPr>
          </w:p>
        </w:tc>
        <w:tc>
          <w:tcPr>
            <w:tcW w:w="1473" w:type="dxa"/>
            <w:vAlign w:val="center"/>
          </w:tcPr>
          <w:p>
            <w:pPr>
              <w:snapToGrid w:val="0"/>
              <w:spacing w:line="240" w:lineRule="exact"/>
              <w:jc w:val="center"/>
              <w:rPr>
                <w:snapToGrid w:val="0"/>
                <w:kern w:val="21"/>
                <w:szCs w:val="21"/>
              </w:rPr>
            </w:pPr>
            <w:r>
              <w:rPr>
                <w:rFonts w:hint="eastAsia"/>
                <w:szCs w:val="21"/>
              </w:rPr>
              <w:t>泥饼</w:t>
            </w:r>
          </w:p>
        </w:tc>
        <w:tc>
          <w:tcPr>
            <w:tcW w:w="1395" w:type="dxa"/>
            <w:vAlign w:val="center"/>
          </w:tcPr>
          <w:p>
            <w:pPr>
              <w:jc w:val="center"/>
              <w:rPr>
                <w:snapToGrid w:val="0"/>
                <w:kern w:val="21"/>
                <w:szCs w:val="21"/>
              </w:rPr>
            </w:pPr>
            <w:r>
              <w:rPr>
                <w:rFonts w:hint="eastAsia"/>
                <w:snapToGrid w:val="0"/>
                <w:kern w:val="21"/>
                <w:szCs w:val="21"/>
              </w:rPr>
              <w:t>/</w:t>
            </w:r>
          </w:p>
        </w:tc>
        <w:tc>
          <w:tcPr>
            <w:tcW w:w="1363" w:type="dxa"/>
            <w:vAlign w:val="center"/>
          </w:tcPr>
          <w:p>
            <w:pPr>
              <w:jc w:val="center"/>
              <w:rPr>
                <w:snapToGrid w:val="0"/>
                <w:kern w:val="21"/>
                <w:szCs w:val="21"/>
              </w:rPr>
            </w:pPr>
            <w:r>
              <w:rPr>
                <w:rFonts w:hint="eastAsia"/>
                <w:snapToGrid w:val="0"/>
                <w:kern w:val="21"/>
                <w:szCs w:val="21"/>
              </w:rPr>
              <w:t>/</w:t>
            </w:r>
          </w:p>
        </w:tc>
        <w:tc>
          <w:tcPr>
            <w:tcW w:w="1676" w:type="dxa"/>
            <w:vAlign w:val="center"/>
          </w:tcPr>
          <w:p>
            <w:pPr>
              <w:jc w:val="center"/>
              <w:rPr>
                <w:snapToGrid w:val="0"/>
                <w:kern w:val="21"/>
                <w:szCs w:val="21"/>
              </w:rPr>
            </w:pPr>
            <w:r>
              <w:rPr>
                <w:rFonts w:hint="eastAsia"/>
                <w:snapToGrid w:val="0"/>
                <w:kern w:val="21"/>
                <w:szCs w:val="21"/>
              </w:rPr>
              <w:t>/</w:t>
            </w:r>
          </w:p>
        </w:tc>
        <w:tc>
          <w:tcPr>
            <w:tcW w:w="1675" w:type="dxa"/>
            <w:vAlign w:val="center"/>
          </w:tcPr>
          <w:p>
            <w:pPr>
              <w:jc w:val="center"/>
              <w:rPr>
                <w:snapToGrid w:val="0"/>
                <w:kern w:val="21"/>
                <w:szCs w:val="21"/>
              </w:rPr>
            </w:pPr>
            <w:r>
              <w:rPr>
                <w:szCs w:val="21"/>
              </w:rPr>
              <w:t>500</w:t>
            </w:r>
            <w:r>
              <w:rPr>
                <w:snapToGrid w:val="0"/>
                <w:kern w:val="21"/>
                <w:szCs w:val="21"/>
              </w:rPr>
              <w:t>t/a</w:t>
            </w:r>
          </w:p>
        </w:tc>
        <w:tc>
          <w:tcPr>
            <w:tcW w:w="1520" w:type="dxa"/>
            <w:vAlign w:val="center"/>
          </w:tcPr>
          <w:p>
            <w:pPr>
              <w:jc w:val="center"/>
              <w:rPr>
                <w:snapToGrid w:val="0"/>
                <w:kern w:val="21"/>
                <w:szCs w:val="21"/>
              </w:rPr>
            </w:pPr>
            <w:r>
              <w:rPr>
                <w:rFonts w:hint="eastAsia"/>
                <w:snapToGrid w:val="0"/>
                <w:kern w:val="21"/>
                <w:szCs w:val="21"/>
              </w:rPr>
              <w:t>/</w:t>
            </w:r>
          </w:p>
        </w:tc>
        <w:tc>
          <w:tcPr>
            <w:tcW w:w="1791" w:type="dxa"/>
            <w:vAlign w:val="center"/>
          </w:tcPr>
          <w:p>
            <w:pPr>
              <w:jc w:val="center"/>
              <w:rPr>
                <w:snapToGrid w:val="0"/>
                <w:kern w:val="21"/>
                <w:szCs w:val="21"/>
              </w:rPr>
            </w:pPr>
            <w:r>
              <w:rPr>
                <w:szCs w:val="21"/>
              </w:rPr>
              <w:t>500</w:t>
            </w:r>
            <w:r>
              <w:rPr>
                <w:snapToGrid w:val="0"/>
                <w:kern w:val="21"/>
                <w:szCs w:val="21"/>
              </w:rPr>
              <w:t>t/a</w:t>
            </w:r>
          </w:p>
        </w:tc>
        <w:tc>
          <w:tcPr>
            <w:tcW w:w="1664" w:type="dxa"/>
            <w:vAlign w:val="center"/>
          </w:tcPr>
          <w:p>
            <w:pPr>
              <w:jc w:val="center"/>
              <w:rPr>
                <w:snapToGrid w:val="0"/>
                <w:kern w:val="21"/>
                <w:szCs w:val="21"/>
              </w:rPr>
            </w:pPr>
            <w:r>
              <w:rPr>
                <w:rFonts w:hint="eastAsia"/>
                <w:szCs w:val="21"/>
              </w:rPr>
              <w:t>+</w:t>
            </w:r>
            <w:r>
              <w:rPr>
                <w:szCs w:val="21"/>
              </w:rPr>
              <w:t>500</w:t>
            </w:r>
            <w:r>
              <w:rPr>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1" w:type="dxa"/>
            <w:vMerge w:val="restart"/>
            <w:vAlign w:val="center"/>
          </w:tcPr>
          <w:p>
            <w:pPr>
              <w:pStyle w:val="49"/>
              <w:spacing w:beforeLines="0" w:afterLines="0" w:line="240" w:lineRule="auto"/>
              <w:rPr>
                <w:rFonts w:ascii="Times New Roman"/>
                <w:snapToGrid w:val="0"/>
                <w:kern w:val="21"/>
                <w:szCs w:val="21"/>
              </w:rPr>
            </w:pPr>
            <w:r>
              <w:rPr>
                <w:rFonts w:ascii="Times New Roman"/>
                <w:snapToGrid w:val="0"/>
                <w:kern w:val="21"/>
                <w:szCs w:val="21"/>
              </w:rPr>
              <w:t>危险废物</w:t>
            </w:r>
          </w:p>
        </w:tc>
        <w:tc>
          <w:tcPr>
            <w:tcW w:w="1473" w:type="dxa"/>
            <w:vAlign w:val="center"/>
          </w:tcPr>
          <w:p>
            <w:pPr>
              <w:snapToGrid w:val="0"/>
              <w:spacing w:line="240" w:lineRule="exact"/>
              <w:jc w:val="center"/>
              <w:rPr>
                <w:snapToGrid w:val="0"/>
                <w:kern w:val="21"/>
                <w:szCs w:val="21"/>
              </w:rPr>
            </w:pPr>
            <w:r>
              <w:rPr>
                <w:szCs w:val="21"/>
              </w:rPr>
              <w:t>含油抹布、废手套</w:t>
            </w:r>
          </w:p>
        </w:tc>
        <w:tc>
          <w:tcPr>
            <w:tcW w:w="1395" w:type="dxa"/>
            <w:vAlign w:val="center"/>
          </w:tcPr>
          <w:p>
            <w:pPr>
              <w:jc w:val="center"/>
              <w:rPr>
                <w:snapToGrid w:val="0"/>
                <w:kern w:val="21"/>
                <w:szCs w:val="21"/>
              </w:rPr>
            </w:pPr>
            <w:r>
              <w:rPr>
                <w:rFonts w:hint="eastAsia"/>
                <w:snapToGrid w:val="0"/>
                <w:kern w:val="21"/>
                <w:szCs w:val="21"/>
              </w:rPr>
              <w:t>/</w:t>
            </w:r>
          </w:p>
        </w:tc>
        <w:tc>
          <w:tcPr>
            <w:tcW w:w="1363" w:type="dxa"/>
            <w:vAlign w:val="center"/>
          </w:tcPr>
          <w:p>
            <w:pPr>
              <w:jc w:val="center"/>
              <w:rPr>
                <w:snapToGrid w:val="0"/>
                <w:kern w:val="21"/>
                <w:szCs w:val="21"/>
              </w:rPr>
            </w:pPr>
            <w:r>
              <w:rPr>
                <w:rFonts w:hint="eastAsia"/>
                <w:snapToGrid w:val="0"/>
                <w:kern w:val="21"/>
                <w:szCs w:val="21"/>
              </w:rPr>
              <w:t>/</w:t>
            </w:r>
          </w:p>
        </w:tc>
        <w:tc>
          <w:tcPr>
            <w:tcW w:w="1676" w:type="dxa"/>
            <w:vAlign w:val="center"/>
          </w:tcPr>
          <w:p>
            <w:pPr>
              <w:jc w:val="center"/>
              <w:rPr>
                <w:snapToGrid w:val="0"/>
                <w:kern w:val="21"/>
                <w:szCs w:val="21"/>
              </w:rPr>
            </w:pPr>
            <w:r>
              <w:rPr>
                <w:rFonts w:hint="eastAsia"/>
                <w:snapToGrid w:val="0"/>
                <w:kern w:val="21"/>
                <w:szCs w:val="21"/>
              </w:rPr>
              <w:t>/</w:t>
            </w:r>
          </w:p>
        </w:tc>
        <w:tc>
          <w:tcPr>
            <w:tcW w:w="1675" w:type="dxa"/>
            <w:vAlign w:val="center"/>
          </w:tcPr>
          <w:p>
            <w:pPr>
              <w:jc w:val="center"/>
              <w:rPr>
                <w:snapToGrid w:val="0"/>
                <w:kern w:val="21"/>
                <w:szCs w:val="21"/>
              </w:rPr>
            </w:pPr>
            <w:r>
              <w:rPr>
                <w:rFonts w:hint="eastAsia"/>
                <w:snapToGrid w:val="0"/>
                <w:kern w:val="21"/>
                <w:szCs w:val="21"/>
              </w:rPr>
              <w:t>0.05</w:t>
            </w:r>
            <w:r>
              <w:rPr>
                <w:snapToGrid w:val="0"/>
                <w:kern w:val="21"/>
                <w:szCs w:val="21"/>
              </w:rPr>
              <w:t>t/a</w:t>
            </w:r>
          </w:p>
        </w:tc>
        <w:tc>
          <w:tcPr>
            <w:tcW w:w="1520" w:type="dxa"/>
            <w:vAlign w:val="center"/>
          </w:tcPr>
          <w:p>
            <w:pPr>
              <w:jc w:val="center"/>
              <w:rPr>
                <w:snapToGrid w:val="0"/>
                <w:kern w:val="21"/>
                <w:szCs w:val="21"/>
              </w:rPr>
            </w:pPr>
            <w:r>
              <w:rPr>
                <w:snapToGrid w:val="0"/>
                <w:kern w:val="21"/>
                <w:szCs w:val="21"/>
              </w:rPr>
              <w:t>/</w:t>
            </w:r>
          </w:p>
        </w:tc>
        <w:tc>
          <w:tcPr>
            <w:tcW w:w="1791" w:type="dxa"/>
            <w:vAlign w:val="center"/>
          </w:tcPr>
          <w:p>
            <w:pPr>
              <w:jc w:val="center"/>
              <w:rPr>
                <w:snapToGrid w:val="0"/>
                <w:kern w:val="21"/>
                <w:szCs w:val="21"/>
              </w:rPr>
            </w:pPr>
            <w:r>
              <w:rPr>
                <w:rFonts w:hint="eastAsia"/>
                <w:snapToGrid w:val="0"/>
                <w:kern w:val="21"/>
                <w:szCs w:val="21"/>
              </w:rPr>
              <w:t>0.05</w:t>
            </w:r>
            <w:r>
              <w:rPr>
                <w:snapToGrid w:val="0"/>
                <w:kern w:val="21"/>
                <w:szCs w:val="21"/>
              </w:rPr>
              <w:t>t/a</w:t>
            </w:r>
          </w:p>
        </w:tc>
        <w:tc>
          <w:tcPr>
            <w:tcW w:w="1664" w:type="dxa"/>
            <w:vAlign w:val="center"/>
          </w:tcPr>
          <w:p>
            <w:pPr>
              <w:jc w:val="center"/>
              <w:rPr>
                <w:snapToGrid w:val="0"/>
                <w:kern w:val="21"/>
                <w:szCs w:val="21"/>
              </w:rPr>
            </w:pPr>
            <w:r>
              <w:rPr>
                <w:rFonts w:hint="eastAsia"/>
                <w:snapToGrid w:val="0"/>
                <w:kern w:val="21"/>
                <w:szCs w:val="21"/>
              </w:rPr>
              <w:t>+0.05</w:t>
            </w:r>
            <w:r>
              <w:rPr>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1" w:type="dxa"/>
            <w:vMerge w:val="continue"/>
            <w:vAlign w:val="center"/>
          </w:tcPr>
          <w:p>
            <w:pPr>
              <w:pStyle w:val="49"/>
              <w:spacing w:beforeLines="0" w:afterLines="0" w:line="240" w:lineRule="auto"/>
              <w:rPr>
                <w:rFonts w:ascii="Times New Roman"/>
                <w:snapToGrid w:val="0"/>
                <w:kern w:val="21"/>
                <w:szCs w:val="21"/>
              </w:rPr>
            </w:pPr>
          </w:p>
        </w:tc>
        <w:tc>
          <w:tcPr>
            <w:tcW w:w="1473" w:type="dxa"/>
            <w:vAlign w:val="center"/>
          </w:tcPr>
          <w:p>
            <w:pPr>
              <w:snapToGrid w:val="0"/>
              <w:spacing w:line="240" w:lineRule="exact"/>
              <w:jc w:val="center"/>
              <w:rPr>
                <w:snapToGrid w:val="0"/>
                <w:kern w:val="21"/>
                <w:szCs w:val="21"/>
              </w:rPr>
            </w:pPr>
            <w:r>
              <w:rPr>
                <w:rFonts w:hint="eastAsia"/>
                <w:szCs w:val="21"/>
              </w:rPr>
              <w:t>废机油</w:t>
            </w:r>
          </w:p>
        </w:tc>
        <w:tc>
          <w:tcPr>
            <w:tcW w:w="1395" w:type="dxa"/>
            <w:vAlign w:val="center"/>
          </w:tcPr>
          <w:p>
            <w:pPr>
              <w:jc w:val="center"/>
              <w:rPr>
                <w:snapToGrid w:val="0"/>
                <w:kern w:val="21"/>
                <w:szCs w:val="21"/>
              </w:rPr>
            </w:pPr>
            <w:r>
              <w:rPr>
                <w:rFonts w:hint="eastAsia"/>
                <w:snapToGrid w:val="0"/>
                <w:kern w:val="21"/>
                <w:szCs w:val="21"/>
              </w:rPr>
              <w:t>/</w:t>
            </w:r>
          </w:p>
        </w:tc>
        <w:tc>
          <w:tcPr>
            <w:tcW w:w="1363" w:type="dxa"/>
            <w:vAlign w:val="center"/>
          </w:tcPr>
          <w:p>
            <w:pPr>
              <w:jc w:val="center"/>
              <w:rPr>
                <w:snapToGrid w:val="0"/>
                <w:kern w:val="21"/>
                <w:szCs w:val="21"/>
              </w:rPr>
            </w:pPr>
            <w:r>
              <w:rPr>
                <w:rFonts w:hint="eastAsia"/>
                <w:snapToGrid w:val="0"/>
                <w:kern w:val="21"/>
                <w:szCs w:val="21"/>
              </w:rPr>
              <w:t>/</w:t>
            </w:r>
          </w:p>
        </w:tc>
        <w:tc>
          <w:tcPr>
            <w:tcW w:w="1676" w:type="dxa"/>
            <w:vAlign w:val="center"/>
          </w:tcPr>
          <w:p>
            <w:pPr>
              <w:jc w:val="center"/>
              <w:rPr>
                <w:snapToGrid w:val="0"/>
                <w:kern w:val="21"/>
                <w:szCs w:val="21"/>
              </w:rPr>
            </w:pPr>
            <w:r>
              <w:rPr>
                <w:snapToGrid w:val="0"/>
                <w:kern w:val="21"/>
                <w:szCs w:val="21"/>
              </w:rPr>
              <w:t>/</w:t>
            </w:r>
          </w:p>
        </w:tc>
        <w:tc>
          <w:tcPr>
            <w:tcW w:w="1675" w:type="dxa"/>
            <w:vAlign w:val="center"/>
          </w:tcPr>
          <w:p>
            <w:pPr>
              <w:jc w:val="center"/>
              <w:rPr>
                <w:snapToGrid w:val="0"/>
                <w:kern w:val="21"/>
                <w:szCs w:val="21"/>
              </w:rPr>
            </w:pPr>
            <w:r>
              <w:rPr>
                <w:rFonts w:hint="eastAsia"/>
                <w:snapToGrid w:val="0"/>
                <w:kern w:val="21"/>
                <w:szCs w:val="21"/>
              </w:rPr>
              <w:t>0.15</w:t>
            </w:r>
            <w:r>
              <w:rPr>
                <w:snapToGrid w:val="0"/>
                <w:kern w:val="21"/>
                <w:szCs w:val="21"/>
              </w:rPr>
              <w:t>t/a</w:t>
            </w:r>
          </w:p>
        </w:tc>
        <w:tc>
          <w:tcPr>
            <w:tcW w:w="1520" w:type="dxa"/>
            <w:vAlign w:val="center"/>
          </w:tcPr>
          <w:p>
            <w:pPr>
              <w:jc w:val="center"/>
              <w:rPr>
                <w:snapToGrid w:val="0"/>
                <w:kern w:val="21"/>
                <w:szCs w:val="21"/>
              </w:rPr>
            </w:pPr>
            <w:r>
              <w:rPr>
                <w:snapToGrid w:val="0"/>
                <w:kern w:val="21"/>
                <w:szCs w:val="21"/>
              </w:rPr>
              <w:t>/</w:t>
            </w:r>
          </w:p>
        </w:tc>
        <w:tc>
          <w:tcPr>
            <w:tcW w:w="1791" w:type="dxa"/>
            <w:vAlign w:val="center"/>
          </w:tcPr>
          <w:p>
            <w:pPr>
              <w:jc w:val="center"/>
              <w:rPr>
                <w:snapToGrid w:val="0"/>
                <w:kern w:val="21"/>
                <w:szCs w:val="21"/>
              </w:rPr>
            </w:pPr>
            <w:r>
              <w:rPr>
                <w:rFonts w:hint="eastAsia"/>
                <w:snapToGrid w:val="0"/>
                <w:kern w:val="21"/>
                <w:szCs w:val="21"/>
              </w:rPr>
              <w:t>0.15</w:t>
            </w:r>
            <w:r>
              <w:rPr>
                <w:snapToGrid w:val="0"/>
                <w:kern w:val="21"/>
                <w:szCs w:val="21"/>
              </w:rPr>
              <w:t>t/a</w:t>
            </w:r>
          </w:p>
        </w:tc>
        <w:tc>
          <w:tcPr>
            <w:tcW w:w="1664" w:type="dxa"/>
            <w:vAlign w:val="center"/>
          </w:tcPr>
          <w:p>
            <w:pPr>
              <w:jc w:val="center"/>
              <w:rPr>
                <w:snapToGrid w:val="0"/>
                <w:kern w:val="21"/>
                <w:szCs w:val="21"/>
              </w:rPr>
            </w:pPr>
            <w:r>
              <w:rPr>
                <w:rFonts w:hint="eastAsia"/>
                <w:snapToGrid w:val="0"/>
                <w:kern w:val="21"/>
                <w:szCs w:val="21"/>
              </w:rPr>
              <w:t>+0.15</w:t>
            </w:r>
            <w:r>
              <w:rPr>
                <w:snapToGrid w:val="0"/>
                <w:kern w:val="21"/>
                <w:szCs w:val="21"/>
              </w:rPr>
              <w:t>t/a</w:t>
            </w:r>
          </w:p>
        </w:tc>
      </w:tr>
    </w:tbl>
    <w:p>
      <w:pPr>
        <w:pStyle w:val="49"/>
        <w:spacing w:before="192" w:beforeLines="80" w:after="24"/>
        <w:jc w:val="left"/>
      </w:pPr>
      <w:r>
        <w:rPr>
          <w:rFonts w:ascii="Times New Roman"/>
          <w:snapToGrid w:val="0"/>
          <w:kern w:val="21"/>
          <w:szCs w:val="21"/>
        </w:rPr>
        <w:t>注：</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ascii="Times New Roman"/>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ascii="Times New Roman"/>
          <w:szCs w:val="21"/>
        </w:rPr>
        <w:t>①</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ascii="Times New Roman"/>
          <w:szCs w:val="21"/>
        </w:rPr>
        <w:t>③</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ascii="Times New Roman"/>
          <w:szCs w:val="21"/>
        </w:rPr>
        <w:t>④</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ascii="Times New Roman"/>
          <w:szCs w:val="21"/>
        </w:rPr>
        <w:t>⑤</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ascii="Times New Roman"/>
          <w:szCs w:val="21"/>
        </w:rPr>
        <w:t>⑦</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ascii="Times New Roman"/>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ascii="Times New Roman"/>
          <w:szCs w:val="21"/>
        </w:rPr>
        <w:t>①</w:t>
      </w:r>
      <w:r>
        <w:rPr>
          <w:rFonts w:ascii="Times New Roman"/>
          <w:snapToGrid w:val="0"/>
          <w:spacing w:val="-6"/>
          <w:kern w:val="21"/>
          <w:szCs w:val="21"/>
        </w:rPr>
        <w:fldChar w:fldCharType="end"/>
      </w:r>
    </w:p>
    <w:sectPr>
      <w:footerReference r:id="rId6" w:type="default"/>
      <w:pgSz w:w="16838" w:h="11906"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BD6DD3-2123-4664-A9EB-332CF02FCD1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E27D76A-68F7-4055-802B-319292989940}"/>
  </w:font>
  <w:font w:name="Cambria">
    <w:panose1 w:val="02040503050406030204"/>
    <w:charset w:val="00"/>
    <w:family w:val="roman"/>
    <w:pitch w:val="default"/>
    <w:sig w:usb0="E00002FF" w:usb1="400004FF" w:usb2="00000000" w:usb3="00000000" w:csb0="2000019F" w:csb1="00000000"/>
  </w:font>
  <w:font w:name="金山简宋体">
    <w:altName w:val="黑体"/>
    <w:panose1 w:val="00000000000000000000"/>
    <w:charset w:val="86"/>
    <w:family w:val="modern"/>
    <w:pitch w:val="default"/>
    <w:sig w:usb0="00000000" w:usb1="00000000" w:usb2="00000010" w:usb3="00000000" w:csb0="0004000A"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25E5E2D8-14B4-4C75-92D9-AAE40832947C}"/>
  </w:font>
  <w:font w:name="TimesNewRomanPSMT">
    <w:altName w:val="Times New Roman"/>
    <w:panose1 w:val="00000000000000000000"/>
    <w:charset w:val="00"/>
    <w:family w:val="roman"/>
    <w:pitch w:val="default"/>
    <w:sig w:usb0="00000000" w:usb1="00000000" w:usb2="00000010"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embedRegular r:id="rId4" w:fontKey="{9BBB5393-8B99-4438-B39A-2E4B0F842B97}"/>
  </w:font>
  <w:font w:name="华文仿宋">
    <w:panose1 w:val="02010600040101010101"/>
    <w:charset w:val="86"/>
    <w:family w:val="auto"/>
    <w:pitch w:val="default"/>
    <w:sig w:usb0="00000287" w:usb1="080F0000" w:usb2="00000000" w:usb3="00000000" w:csb0="0004009F" w:csb1="DFD70000"/>
    <w:embedRegular r:id="rId5" w:fontKey="{116AE963-E385-4CF2-A0B5-AE351A1A7FDD}"/>
  </w:font>
  <w:font w:name="仿宋">
    <w:panose1 w:val="02010609060101010101"/>
    <w:charset w:val="86"/>
    <w:family w:val="auto"/>
    <w:pitch w:val="default"/>
    <w:sig w:usb0="800002BF" w:usb1="38CF7CFA" w:usb2="00000016" w:usb3="00000000" w:csb0="00040001" w:csb1="00000000"/>
    <w:embedRegular r:id="rId6" w:fontKey="{07811833-EA37-4517-8E37-1C66AE750275}"/>
  </w:font>
  <w:font w:name="Wingdings 2">
    <w:panose1 w:val="05020102010507070707"/>
    <w:charset w:val="02"/>
    <w:family w:val="roman"/>
    <w:pitch w:val="default"/>
    <w:sig w:usb0="00000000" w:usb1="00000000" w:usb2="00000000" w:usb3="00000000" w:csb0="80000000" w:csb1="00000000"/>
    <w:embedRegular r:id="rId7" w:fontKey="{BA821CE1-5777-4306-A86C-1F459EB5E1A9}"/>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Style w:val="30"/>
        <w:rFonts w:ascii="宋体" w:hAnsi="宋体"/>
        <w:sz w:val="28"/>
        <w:szCs w:val="28"/>
      </w:rPr>
    </w:pPr>
  </w:p>
  <w:p>
    <w:pPr>
      <w:pStyle w:val="1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0"/>
      </w:rPr>
    </w:pPr>
    <w:r>
      <w:fldChar w:fldCharType="begin"/>
    </w:r>
    <w:r>
      <w:rPr>
        <w:rStyle w:val="30"/>
      </w:rPr>
      <w:instrText xml:space="preserve">PAGE  </w:instrText>
    </w:r>
    <w: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59264" behindDoc="0" locked="0" layoutInCell="1" allowOverlap="1">
              <wp:simplePos x="0" y="0"/>
              <wp:positionH relativeFrom="margin">
                <wp:posOffset>2824480</wp:posOffset>
              </wp:positionH>
              <wp:positionV relativeFrom="paragraph">
                <wp:posOffset>143510</wp:posOffset>
              </wp:positionV>
              <wp:extent cx="247650" cy="171450"/>
              <wp:effectExtent l="0" t="0" r="0" b="0"/>
              <wp:wrapNone/>
              <wp:docPr id="18" name="文本框 2"/>
              <wp:cNvGraphicFramePr/>
              <a:graphic xmlns:a="http://schemas.openxmlformats.org/drawingml/2006/main">
                <a:graphicData uri="http://schemas.microsoft.com/office/word/2010/wordprocessingShape">
                  <wps:wsp>
                    <wps:cNvSpPr txBox="1"/>
                    <wps:spPr>
                      <a:xfrm>
                        <a:off x="0" y="0"/>
                        <a:ext cx="247650" cy="171450"/>
                      </a:xfrm>
                      <a:prstGeom prst="rect">
                        <a:avLst/>
                      </a:prstGeom>
                      <a:noFill/>
                      <a:ln>
                        <a:noFill/>
                      </a:ln>
                    </wps:spPr>
                    <wps:txbx>
                      <w:txbxContent>
                        <w:p>
                          <w:pPr>
                            <w:pStyle w:val="16"/>
                          </w:pPr>
                          <w:r>
                            <w:fldChar w:fldCharType="begin"/>
                          </w:r>
                          <w:r>
                            <w:instrText xml:space="preserve"> PAGE  \* MERGEFORMAT </w:instrText>
                          </w:r>
                          <w:r>
                            <w:fldChar w:fldCharType="separate"/>
                          </w:r>
                          <w:r>
                            <w:t>7</w:t>
                          </w:r>
                          <w:r>
                            <w:fldChar w:fldCharType="end"/>
                          </w:r>
                        </w:p>
                      </w:txbxContent>
                    </wps:txbx>
                    <wps:bodyPr wrap="square" lIns="0" tIns="0" rIns="0" bIns="0">
                      <a:noAutofit/>
                    </wps:bodyPr>
                  </wps:wsp>
                </a:graphicData>
              </a:graphic>
            </wp:anchor>
          </w:drawing>
        </mc:Choice>
        <mc:Fallback>
          <w:pict>
            <v:shape id="文本框 2" o:spid="_x0000_s1026" o:spt="202" type="#_x0000_t202" style="position:absolute;left:0pt;margin-left:222.4pt;margin-top:11.3pt;height:13.5pt;width:19.5pt;mso-position-horizontal-relative:margin;z-index:251659264;mso-width-relative:page;mso-height-relative:page;" filled="f" stroked="f" coordsize="21600,21600" o:gfxdata="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6w+VY2AAAAAkBAAAPAAAAAAAAAAEAIAAAACIAAABkcnMvZG93&#10;bnJldi54bWxQSwECFAAUAAAACACHTuJAXJmu0scBAACOAwAADgAAAAAAAAABACAAAAAnAQAAZHJz&#10;L2Uyb0RvYy54bWxQSwUGAAAAAAYABgBZAQAAYAUAAAAA&#10;">
              <v:fill on="f" focussize="0,0"/>
              <v:stroke on="f"/>
              <v:imagedata o:title=""/>
              <o:lock v:ext="edit" aspectratio="f"/>
              <v:textbox inset="0mm,0mm,0mm,0mm">
                <w:txbxContent>
                  <w:p>
                    <w:pPr>
                      <w:pStyle w:val="1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46</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y/ZY8IBAACO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Mv2WPCAQAAjgMAAA4AAAAAAAAAAQAgAAAAHgEAAGRycy9lMm9Eb2MueG1sUEsF&#10;BgAAAAAGAAYAWQEAAFI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A985"/>
    <w:multiLevelType w:val="singleLevel"/>
    <w:tmpl w:val="0C7DA985"/>
    <w:lvl w:ilvl="0" w:tentative="0">
      <w:start w:val="1"/>
      <w:numFmt w:val="bullet"/>
      <w:pStyle w:val="13"/>
      <w:lvlText w:val=""/>
      <w:lvlJc w:val="left"/>
      <w:pPr>
        <w:tabs>
          <w:tab w:val="left" w:pos="2040"/>
        </w:tabs>
        <w:ind w:left="2040" w:hanging="360"/>
      </w:pPr>
      <w:rPr>
        <w:rFonts w:hint="default" w:ascii="Wingdings" w:hAnsi="Wingdings"/>
      </w:rPr>
    </w:lvl>
  </w:abstractNum>
  <w:abstractNum w:abstractNumId="1">
    <w:nsid w:val="16253587"/>
    <w:multiLevelType w:val="multilevel"/>
    <w:tmpl w:val="1625358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MWFkMTdkNWViMDJmYmZhOTRmNzJmMWNhMzg0MmEifQ=="/>
  </w:docVars>
  <w:rsids>
    <w:rsidRoot w:val="00A14947"/>
    <w:rsid w:val="00004518"/>
    <w:rsid w:val="000060B3"/>
    <w:rsid w:val="0004364B"/>
    <w:rsid w:val="000450B0"/>
    <w:rsid w:val="00046655"/>
    <w:rsid w:val="00061B1F"/>
    <w:rsid w:val="000629A6"/>
    <w:rsid w:val="000733C4"/>
    <w:rsid w:val="00074783"/>
    <w:rsid w:val="0008070B"/>
    <w:rsid w:val="000810AC"/>
    <w:rsid w:val="000814C5"/>
    <w:rsid w:val="00081A02"/>
    <w:rsid w:val="00082231"/>
    <w:rsid w:val="00092D38"/>
    <w:rsid w:val="0009377B"/>
    <w:rsid w:val="00094D4F"/>
    <w:rsid w:val="000A20C9"/>
    <w:rsid w:val="000A6992"/>
    <w:rsid w:val="000B058F"/>
    <w:rsid w:val="000B4467"/>
    <w:rsid w:val="000B4DB9"/>
    <w:rsid w:val="000C09AC"/>
    <w:rsid w:val="000C767F"/>
    <w:rsid w:val="000D0AC9"/>
    <w:rsid w:val="000D5A44"/>
    <w:rsid w:val="000E3ED2"/>
    <w:rsid w:val="00103AC0"/>
    <w:rsid w:val="0012414E"/>
    <w:rsid w:val="00130FA0"/>
    <w:rsid w:val="00131F42"/>
    <w:rsid w:val="00132B6B"/>
    <w:rsid w:val="001357F1"/>
    <w:rsid w:val="00140FA8"/>
    <w:rsid w:val="001420ED"/>
    <w:rsid w:val="00142FEB"/>
    <w:rsid w:val="00143A2D"/>
    <w:rsid w:val="00145A41"/>
    <w:rsid w:val="00151675"/>
    <w:rsid w:val="00153E75"/>
    <w:rsid w:val="00156B39"/>
    <w:rsid w:val="00157435"/>
    <w:rsid w:val="001574CE"/>
    <w:rsid w:val="0017504D"/>
    <w:rsid w:val="0017671A"/>
    <w:rsid w:val="00177422"/>
    <w:rsid w:val="00180813"/>
    <w:rsid w:val="00184590"/>
    <w:rsid w:val="001853CB"/>
    <w:rsid w:val="001870D1"/>
    <w:rsid w:val="0018781E"/>
    <w:rsid w:val="0019262D"/>
    <w:rsid w:val="001A0CCB"/>
    <w:rsid w:val="001A1B35"/>
    <w:rsid w:val="001A48A2"/>
    <w:rsid w:val="001A6F61"/>
    <w:rsid w:val="001B3BC4"/>
    <w:rsid w:val="001B72B8"/>
    <w:rsid w:val="001C1DA1"/>
    <w:rsid w:val="001C6247"/>
    <w:rsid w:val="001C69B3"/>
    <w:rsid w:val="001D28D5"/>
    <w:rsid w:val="001D5595"/>
    <w:rsid w:val="001D72F7"/>
    <w:rsid w:val="001D7874"/>
    <w:rsid w:val="001D7F22"/>
    <w:rsid w:val="001F0F17"/>
    <w:rsid w:val="001F3347"/>
    <w:rsid w:val="001F34E9"/>
    <w:rsid w:val="001F3D09"/>
    <w:rsid w:val="001F69E4"/>
    <w:rsid w:val="002125B4"/>
    <w:rsid w:val="002155B8"/>
    <w:rsid w:val="00215A03"/>
    <w:rsid w:val="00222754"/>
    <w:rsid w:val="00222B9F"/>
    <w:rsid w:val="00224839"/>
    <w:rsid w:val="002249B2"/>
    <w:rsid w:val="00226574"/>
    <w:rsid w:val="002278EC"/>
    <w:rsid w:val="0023280E"/>
    <w:rsid w:val="002377D1"/>
    <w:rsid w:val="002506BC"/>
    <w:rsid w:val="00254345"/>
    <w:rsid w:val="00264557"/>
    <w:rsid w:val="00267F0A"/>
    <w:rsid w:val="002805AB"/>
    <w:rsid w:val="00284204"/>
    <w:rsid w:val="00291773"/>
    <w:rsid w:val="002A168C"/>
    <w:rsid w:val="002A3DC7"/>
    <w:rsid w:val="002B49E2"/>
    <w:rsid w:val="002B4A3F"/>
    <w:rsid w:val="002B7B00"/>
    <w:rsid w:val="002B7C44"/>
    <w:rsid w:val="002C2B17"/>
    <w:rsid w:val="002D3DD0"/>
    <w:rsid w:val="002E002F"/>
    <w:rsid w:val="002E120E"/>
    <w:rsid w:val="002E1F3A"/>
    <w:rsid w:val="002E298A"/>
    <w:rsid w:val="002F0C8D"/>
    <w:rsid w:val="002F0DB5"/>
    <w:rsid w:val="002F5AD5"/>
    <w:rsid w:val="00301978"/>
    <w:rsid w:val="0030332C"/>
    <w:rsid w:val="003051C2"/>
    <w:rsid w:val="00312296"/>
    <w:rsid w:val="00312924"/>
    <w:rsid w:val="00313D9D"/>
    <w:rsid w:val="00314F0E"/>
    <w:rsid w:val="00321D8E"/>
    <w:rsid w:val="00325928"/>
    <w:rsid w:val="00332863"/>
    <w:rsid w:val="0033684D"/>
    <w:rsid w:val="00337B42"/>
    <w:rsid w:val="00341B42"/>
    <w:rsid w:val="0034348F"/>
    <w:rsid w:val="003444FA"/>
    <w:rsid w:val="00351270"/>
    <w:rsid w:val="00356653"/>
    <w:rsid w:val="0035743F"/>
    <w:rsid w:val="00357BE2"/>
    <w:rsid w:val="0036170C"/>
    <w:rsid w:val="00365639"/>
    <w:rsid w:val="00366E0F"/>
    <w:rsid w:val="00380024"/>
    <w:rsid w:val="00381A72"/>
    <w:rsid w:val="00384676"/>
    <w:rsid w:val="00390857"/>
    <w:rsid w:val="003979E8"/>
    <w:rsid w:val="003A4BF3"/>
    <w:rsid w:val="003B420D"/>
    <w:rsid w:val="003C6C16"/>
    <w:rsid w:val="003D794D"/>
    <w:rsid w:val="003E3058"/>
    <w:rsid w:val="003E76A9"/>
    <w:rsid w:val="003F0809"/>
    <w:rsid w:val="003F6A8C"/>
    <w:rsid w:val="003F755C"/>
    <w:rsid w:val="00402D9D"/>
    <w:rsid w:val="00406F01"/>
    <w:rsid w:val="00412488"/>
    <w:rsid w:val="00416D50"/>
    <w:rsid w:val="00416FD5"/>
    <w:rsid w:val="00417772"/>
    <w:rsid w:val="00420E6A"/>
    <w:rsid w:val="00423A5C"/>
    <w:rsid w:val="00425A9E"/>
    <w:rsid w:val="00426D6B"/>
    <w:rsid w:val="00431E6C"/>
    <w:rsid w:val="00433CE7"/>
    <w:rsid w:val="00452738"/>
    <w:rsid w:val="00456091"/>
    <w:rsid w:val="00463351"/>
    <w:rsid w:val="00466321"/>
    <w:rsid w:val="00467B73"/>
    <w:rsid w:val="00475D6C"/>
    <w:rsid w:val="00484B9B"/>
    <w:rsid w:val="00485203"/>
    <w:rsid w:val="004855F6"/>
    <w:rsid w:val="0048661E"/>
    <w:rsid w:val="00494670"/>
    <w:rsid w:val="004A3823"/>
    <w:rsid w:val="004E6946"/>
    <w:rsid w:val="004E7E72"/>
    <w:rsid w:val="004F1AD8"/>
    <w:rsid w:val="005039CB"/>
    <w:rsid w:val="00504582"/>
    <w:rsid w:val="0050558F"/>
    <w:rsid w:val="00506286"/>
    <w:rsid w:val="00510813"/>
    <w:rsid w:val="00510E31"/>
    <w:rsid w:val="00511990"/>
    <w:rsid w:val="00511DE0"/>
    <w:rsid w:val="0051486E"/>
    <w:rsid w:val="00514870"/>
    <w:rsid w:val="00514B9B"/>
    <w:rsid w:val="00517F02"/>
    <w:rsid w:val="00523E95"/>
    <w:rsid w:val="00524303"/>
    <w:rsid w:val="005258A2"/>
    <w:rsid w:val="0053261A"/>
    <w:rsid w:val="005401AE"/>
    <w:rsid w:val="00542E07"/>
    <w:rsid w:val="00545424"/>
    <w:rsid w:val="00545C9C"/>
    <w:rsid w:val="00554A7B"/>
    <w:rsid w:val="0055572C"/>
    <w:rsid w:val="0056106A"/>
    <w:rsid w:val="005720AE"/>
    <w:rsid w:val="00574250"/>
    <w:rsid w:val="00584A53"/>
    <w:rsid w:val="00594D77"/>
    <w:rsid w:val="005969E4"/>
    <w:rsid w:val="005A06B7"/>
    <w:rsid w:val="005A1759"/>
    <w:rsid w:val="005A68A7"/>
    <w:rsid w:val="005D36AB"/>
    <w:rsid w:val="00617CC3"/>
    <w:rsid w:val="006377A6"/>
    <w:rsid w:val="00637A3D"/>
    <w:rsid w:val="006411EF"/>
    <w:rsid w:val="00650822"/>
    <w:rsid w:val="00664103"/>
    <w:rsid w:val="006748B8"/>
    <w:rsid w:val="006775C3"/>
    <w:rsid w:val="0069104F"/>
    <w:rsid w:val="0069290A"/>
    <w:rsid w:val="0069775A"/>
    <w:rsid w:val="00697813"/>
    <w:rsid w:val="006A3EE8"/>
    <w:rsid w:val="006A72BF"/>
    <w:rsid w:val="006B03F2"/>
    <w:rsid w:val="006B37DC"/>
    <w:rsid w:val="006B4F68"/>
    <w:rsid w:val="006C0592"/>
    <w:rsid w:val="006C272E"/>
    <w:rsid w:val="006C5479"/>
    <w:rsid w:val="006D13B5"/>
    <w:rsid w:val="006E0549"/>
    <w:rsid w:val="006E12FF"/>
    <w:rsid w:val="006E607E"/>
    <w:rsid w:val="006E68AA"/>
    <w:rsid w:val="0070299C"/>
    <w:rsid w:val="00706A7F"/>
    <w:rsid w:val="00706C5D"/>
    <w:rsid w:val="00732922"/>
    <w:rsid w:val="00734356"/>
    <w:rsid w:val="00737BC5"/>
    <w:rsid w:val="007463EB"/>
    <w:rsid w:val="00747D74"/>
    <w:rsid w:val="0075162E"/>
    <w:rsid w:val="00754034"/>
    <w:rsid w:val="00756556"/>
    <w:rsid w:val="007618C4"/>
    <w:rsid w:val="00767980"/>
    <w:rsid w:val="00770B19"/>
    <w:rsid w:val="0077463F"/>
    <w:rsid w:val="00781D04"/>
    <w:rsid w:val="007836EA"/>
    <w:rsid w:val="00784CDA"/>
    <w:rsid w:val="00785D0A"/>
    <w:rsid w:val="007906C4"/>
    <w:rsid w:val="007940EA"/>
    <w:rsid w:val="007967E8"/>
    <w:rsid w:val="007A2170"/>
    <w:rsid w:val="007A22BF"/>
    <w:rsid w:val="007A3323"/>
    <w:rsid w:val="007A43E2"/>
    <w:rsid w:val="007A5245"/>
    <w:rsid w:val="007B72B8"/>
    <w:rsid w:val="007B7A58"/>
    <w:rsid w:val="007C1CCB"/>
    <w:rsid w:val="007C21B5"/>
    <w:rsid w:val="007C2640"/>
    <w:rsid w:val="007D6BCE"/>
    <w:rsid w:val="007E4BD2"/>
    <w:rsid w:val="007E7DE5"/>
    <w:rsid w:val="00801393"/>
    <w:rsid w:val="00801D49"/>
    <w:rsid w:val="00802F88"/>
    <w:rsid w:val="0081293E"/>
    <w:rsid w:val="00812E5D"/>
    <w:rsid w:val="00815465"/>
    <w:rsid w:val="00817E9A"/>
    <w:rsid w:val="00821EF2"/>
    <w:rsid w:val="008306BD"/>
    <w:rsid w:val="00830DC4"/>
    <w:rsid w:val="00831A80"/>
    <w:rsid w:val="00833743"/>
    <w:rsid w:val="008340A4"/>
    <w:rsid w:val="00863B6E"/>
    <w:rsid w:val="008711B2"/>
    <w:rsid w:val="0087135F"/>
    <w:rsid w:val="00871F87"/>
    <w:rsid w:val="00872D94"/>
    <w:rsid w:val="0087330D"/>
    <w:rsid w:val="00880364"/>
    <w:rsid w:val="00891592"/>
    <w:rsid w:val="00891E9E"/>
    <w:rsid w:val="008A2F68"/>
    <w:rsid w:val="008A3721"/>
    <w:rsid w:val="008B4FA6"/>
    <w:rsid w:val="008B5282"/>
    <w:rsid w:val="008B7C17"/>
    <w:rsid w:val="008C2D01"/>
    <w:rsid w:val="008C40E6"/>
    <w:rsid w:val="008D0F7A"/>
    <w:rsid w:val="008D5B73"/>
    <w:rsid w:val="008D68E4"/>
    <w:rsid w:val="008E0506"/>
    <w:rsid w:val="008E0CFF"/>
    <w:rsid w:val="008E5D6B"/>
    <w:rsid w:val="008E76F0"/>
    <w:rsid w:val="008F15FE"/>
    <w:rsid w:val="008F2D29"/>
    <w:rsid w:val="008F5187"/>
    <w:rsid w:val="008F60D8"/>
    <w:rsid w:val="00902727"/>
    <w:rsid w:val="0090312B"/>
    <w:rsid w:val="0091736D"/>
    <w:rsid w:val="0093037A"/>
    <w:rsid w:val="00936C7A"/>
    <w:rsid w:val="0094154D"/>
    <w:rsid w:val="00943CBB"/>
    <w:rsid w:val="0095155F"/>
    <w:rsid w:val="00954429"/>
    <w:rsid w:val="009563CE"/>
    <w:rsid w:val="009651D8"/>
    <w:rsid w:val="00976328"/>
    <w:rsid w:val="0097680D"/>
    <w:rsid w:val="00977B4B"/>
    <w:rsid w:val="00982438"/>
    <w:rsid w:val="0098404C"/>
    <w:rsid w:val="00984888"/>
    <w:rsid w:val="00985283"/>
    <w:rsid w:val="009930CA"/>
    <w:rsid w:val="00995992"/>
    <w:rsid w:val="009977EF"/>
    <w:rsid w:val="009A03E5"/>
    <w:rsid w:val="009A0F3B"/>
    <w:rsid w:val="009A1BB4"/>
    <w:rsid w:val="009A2628"/>
    <w:rsid w:val="009A2D4E"/>
    <w:rsid w:val="009A3200"/>
    <w:rsid w:val="009B0897"/>
    <w:rsid w:val="009B7BD9"/>
    <w:rsid w:val="009C7DD5"/>
    <w:rsid w:val="009E227D"/>
    <w:rsid w:val="009E2D81"/>
    <w:rsid w:val="009E5019"/>
    <w:rsid w:val="009E503A"/>
    <w:rsid w:val="00A04F1B"/>
    <w:rsid w:val="00A0501B"/>
    <w:rsid w:val="00A121DA"/>
    <w:rsid w:val="00A14947"/>
    <w:rsid w:val="00A15B9B"/>
    <w:rsid w:val="00A32A83"/>
    <w:rsid w:val="00A33A80"/>
    <w:rsid w:val="00A368DB"/>
    <w:rsid w:val="00A423AA"/>
    <w:rsid w:val="00A438D8"/>
    <w:rsid w:val="00A531CE"/>
    <w:rsid w:val="00A53EC6"/>
    <w:rsid w:val="00A55C0F"/>
    <w:rsid w:val="00A65AF8"/>
    <w:rsid w:val="00A8713F"/>
    <w:rsid w:val="00A90BA1"/>
    <w:rsid w:val="00A94436"/>
    <w:rsid w:val="00A95584"/>
    <w:rsid w:val="00A97A9A"/>
    <w:rsid w:val="00AA0671"/>
    <w:rsid w:val="00AA2531"/>
    <w:rsid w:val="00AB1E09"/>
    <w:rsid w:val="00AB5330"/>
    <w:rsid w:val="00AB7747"/>
    <w:rsid w:val="00AC14CE"/>
    <w:rsid w:val="00AC2A56"/>
    <w:rsid w:val="00AD055E"/>
    <w:rsid w:val="00AD47A7"/>
    <w:rsid w:val="00AE09ED"/>
    <w:rsid w:val="00AF0CBF"/>
    <w:rsid w:val="00AF12C8"/>
    <w:rsid w:val="00AF257F"/>
    <w:rsid w:val="00AF33CF"/>
    <w:rsid w:val="00AF4D50"/>
    <w:rsid w:val="00AF6179"/>
    <w:rsid w:val="00B07B84"/>
    <w:rsid w:val="00B1295A"/>
    <w:rsid w:val="00B20A45"/>
    <w:rsid w:val="00B22C5C"/>
    <w:rsid w:val="00B24F30"/>
    <w:rsid w:val="00B31ABF"/>
    <w:rsid w:val="00B33BE3"/>
    <w:rsid w:val="00B419FD"/>
    <w:rsid w:val="00B465D1"/>
    <w:rsid w:val="00B53B5D"/>
    <w:rsid w:val="00B55B9A"/>
    <w:rsid w:val="00B55C1E"/>
    <w:rsid w:val="00B6055E"/>
    <w:rsid w:val="00B618B0"/>
    <w:rsid w:val="00B6317D"/>
    <w:rsid w:val="00B63C2D"/>
    <w:rsid w:val="00B7723F"/>
    <w:rsid w:val="00B80534"/>
    <w:rsid w:val="00B8433C"/>
    <w:rsid w:val="00B87491"/>
    <w:rsid w:val="00BA1BF6"/>
    <w:rsid w:val="00BA29E9"/>
    <w:rsid w:val="00BA3895"/>
    <w:rsid w:val="00BA7142"/>
    <w:rsid w:val="00BB237C"/>
    <w:rsid w:val="00BB41A3"/>
    <w:rsid w:val="00BC32DC"/>
    <w:rsid w:val="00BC35B6"/>
    <w:rsid w:val="00BD1B51"/>
    <w:rsid w:val="00BD4596"/>
    <w:rsid w:val="00BE1405"/>
    <w:rsid w:val="00BE312D"/>
    <w:rsid w:val="00BF1C20"/>
    <w:rsid w:val="00BF3176"/>
    <w:rsid w:val="00C014EB"/>
    <w:rsid w:val="00C10578"/>
    <w:rsid w:val="00C135BC"/>
    <w:rsid w:val="00C15C95"/>
    <w:rsid w:val="00C1612B"/>
    <w:rsid w:val="00C164C8"/>
    <w:rsid w:val="00C2596A"/>
    <w:rsid w:val="00C26E4A"/>
    <w:rsid w:val="00C27537"/>
    <w:rsid w:val="00C328FE"/>
    <w:rsid w:val="00C33507"/>
    <w:rsid w:val="00C36A6F"/>
    <w:rsid w:val="00C4409D"/>
    <w:rsid w:val="00C44E72"/>
    <w:rsid w:val="00C45A06"/>
    <w:rsid w:val="00C47E5B"/>
    <w:rsid w:val="00C5191C"/>
    <w:rsid w:val="00C61E4B"/>
    <w:rsid w:val="00C62A98"/>
    <w:rsid w:val="00C64BFF"/>
    <w:rsid w:val="00C64E9A"/>
    <w:rsid w:val="00C704E9"/>
    <w:rsid w:val="00C763C9"/>
    <w:rsid w:val="00C80057"/>
    <w:rsid w:val="00C80347"/>
    <w:rsid w:val="00C82232"/>
    <w:rsid w:val="00C82913"/>
    <w:rsid w:val="00C972B1"/>
    <w:rsid w:val="00CA2CCE"/>
    <w:rsid w:val="00CA43FD"/>
    <w:rsid w:val="00CA6A0A"/>
    <w:rsid w:val="00CA7EF8"/>
    <w:rsid w:val="00CC489B"/>
    <w:rsid w:val="00CD2BCD"/>
    <w:rsid w:val="00CD3A4C"/>
    <w:rsid w:val="00CE10E9"/>
    <w:rsid w:val="00CE2910"/>
    <w:rsid w:val="00CE5393"/>
    <w:rsid w:val="00CF36BE"/>
    <w:rsid w:val="00CF6000"/>
    <w:rsid w:val="00D003F3"/>
    <w:rsid w:val="00D0364F"/>
    <w:rsid w:val="00D0587D"/>
    <w:rsid w:val="00D06834"/>
    <w:rsid w:val="00D06C88"/>
    <w:rsid w:val="00D30356"/>
    <w:rsid w:val="00D308ED"/>
    <w:rsid w:val="00D36D86"/>
    <w:rsid w:val="00D428AA"/>
    <w:rsid w:val="00D50A34"/>
    <w:rsid w:val="00D53EFA"/>
    <w:rsid w:val="00D73EAA"/>
    <w:rsid w:val="00D871BF"/>
    <w:rsid w:val="00D94A7C"/>
    <w:rsid w:val="00D95896"/>
    <w:rsid w:val="00DA518E"/>
    <w:rsid w:val="00DB2983"/>
    <w:rsid w:val="00DB470C"/>
    <w:rsid w:val="00DC1257"/>
    <w:rsid w:val="00DC3DC0"/>
    <w:rsid w:val="00DC5B2B"/>
    <w:rsid w:val="00DD318D"/>
    <w:rsid w:val="00DD49FA"/>
    <w:rsid w:val="00DE0AF1"/>
    <w:rsid w:val="00DE5508"/>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670F7"/>
    <w:rsid w:val="00E72A5A"/>
    <w:rsid w:val="00E730CE"/>
    <w:rsid w:val="00E73354"/>
    <w:rsid w:val="00E9242D"/>
    <w:rsid w:val="00E94372"/>
    <w:rsid w:val="00E943AA"/>
    <w:rsid w:val="00EB15DB"/>
    <w:rsid w:val="00EB195D"/>
    <w:rsid w:val="00EB2EC8"/>
    <w:rsid w:val="00EB362C"/>
    <w:rsid w:val="00EB5255"/>
    <w:rsid w:val="00EB5C47"/>
    <w:rsid w:val="00EB6AD4"/>
    <w:rsid w:val="00ED0639"/>
    <w:rsid w:val="00EF00EF"/>
    <w:rsid w:val="00EF4755"/>
    <w:rsid w:val="00EF7135"/>
    <w:rsid w:val="00F027DB"/>
    <w:rsid w:val="00F14A7A"/>
    <w:rsid w:val="00F200DA"/>
    <w:rsid w:val="00F22985"/>
    <w:rsid w:val="00F3383E"/>
    <w:rsid w:val="00F465A7"/>
    <w:rsid w:val="00F50B7C"/>
    <w:rsid w:val="00F550E6"/>
    <w:rsid w:val="00F6321F"/>
    <w:rsid w:val="00F74345"/>
    <w:rsid w:val="00F80A0A"/>
    <w:rsid w:val="00F82B19"/>
    <w:rsid w:val="00F9212D"/>
    <w:rsid w:val="00F965DA"/>
    <w:rsid w:val="00FA2C5C"/>
    <w:rsid w:val="00FA406A"/>
    <w:rsid w:val="00FB503A"/>
    <w:rsid w:val="00FB516C"/>
    <w:rsid w:val="00FD0236"/>
    <w:rsid w:val="00FD18F4"/>
    <w:rsid w:val="00FD54DB"/>
    <w:rsid w:val="00FD619F"/>
    <w:rsid w:val="00FE0B53"/>
    <w:rsid w:val="00FF0CB7"/>
    <w:rsid w:val="01290F7E"/>
    <w:rsid w:val="015D1E09"/>
    <w:rsid w:val="016A4C23"/>
    <w:rsid w:val="02697903"/>
    <w:rsid w:val="02813EA0"/>
    <w:rsid w:val="02AA0A8B"/>
    <w:rsid w:val="02B02345"/>
    <w:rsid w:val="02F96569"/>
    <w:rsid w:val="03EA7B21"/>
    <w:rsid w:val="040646CE"/>
    <w:rsid w:val="04645173"/>
    <w:rsid w:val="049000C7"/>
    <w:rsid w:val="04E94D9B"/>
    <w:rsid w:val="0567638B"/>
    <w:rsid w:val="05F83EAE"/>
    <w:rsid w:val="063E7D85"/>
    <w:rsid w:val="07293586"/>
    <w:rsid w:val="07295285"/>
    <w:rsid w:val="07636392"/>
    <w:rsid w:val="07770C56"/>
    <w:rsid w:val="08D24E58"/>
    <w:rsid w:val="08EB25D3"/>
    <w:rsid w:val="08F411AD"/>
    <w:rsid w:val="08F56564"/>
    <w:rsid w:val="091C4A7D"/>
    <w:rsid w:val="092217DD"/>
    <w:rsid w:val="093A7294"/>
    <w:rsid w:val="09C6146A"/>
    <w:rsid w:val="0A263993"/>
    <w:rsid w:val="0A2D3AC2"/>
    <w:rsid w:val="0AA755DF"/>
    <w:rsid w:val="0AB20ED5"/>
    <w:rsid w:val="0B0B1099"/>
    <w:rsid w:val="0B120D44"/>
    <w:rsid w:val="0B250624"/>
    <w:rsid w:val="0B6E095B"/>
    <w:rsid w:val="0BD27BF6"/>
    <w:rsid w:val="0C3B3C7D"/>
    <w:rsid w:val="0CAB2EAE"/>
    <w:rsid w:val="0CE07A3A"/>
    <w:rsid w:val="0D621C7D"/>
    <w:rsid w:val="0E73034D"/>
    <w:rsid w:val="0EDD7260"/>
    <w:rsid w:val="0EFD234B"/>
    <w:rsid w:val="0F13775A"/>
    <w:rsid w:val="0F2D59AD"/>
    <w:rsid w:val="0F5F45FE"/>
    <w:rsid w:val="0F7E5F78"/>
    <w:rsid w:val="0F9A112B"/>
    <w:rsid w:val="0FBC6980"/>
    <w:rsid w:val="106D2F64"/>
    <w:rsid w:val="106E0575"/>
    <w:rsid w:val="10B63710"/>
    <w:rsid w:val="10C1312E"/>
    <w:rsid w:val="10F10820"/>
    <w:rsid w:val="11141439"/>
    <w:rsid w:val="111C2F7A"/>
    <w:rsid w:val="11665CA1"/>
    <w:rsid w:val="116746F9"/>
    <w:rsid w:val="11A65CC3"/>
    <w:rsid w:val="11BB55B5"/>
    <w:rsid w:val="12BB3C7D"/>
    <w:rsid w:val="12DB2B88"/>
    <w:rsid w:val="136E79B3"/>
    <w:rsid w:val="13951726"/>
    <w:rsid w:val="13DA25F4"/>
    <w:rsid w:val="14396509"/>
    <w:rsid w:val="14A4060F"/>
    <w:rsid w:val="14DD2C3C"/>
    <w:rsid w:val="16087E1D"/>
    <w:rsid w:val="16A0202C"/>
    <w:rsid w:val="17701D14"/>
    <w:rsid w:val="17735226"/>
    <w:rsid w:val="179E7389"/>
    <w:rsid w:val="189F624C"/>
    <w:rsid w:val="193400A6"/>
    <w:rsid w:val="19A36832"/>
    <w:rsid w:val="1A1C66C0"/>
    <w:rsid w:val="1A42393B"/>
    <w:rsid w:val="1A9456C0"/>
    <w:rsid w:val="1AAD45DE"/>
    <w:rsid w:val="1B046F80"/>
    <w:rsid w:val="1B3267B5"/>
    <w:rsid w:val="1B40161D"/>
    <w:rsid w:val="1B441859"/>
    <w:rsid w:val="1B465D06"/>
    <w:rsid w:val="1B6606B1"/>
    <w:rsid w:val="1BEA0FBE"/>
    <w:rsid w:val="1C5E7925"/>
    <w:rsid w:val="1C751C2B"/>
    <w:rsid w:val="1CA75FB3"/>
    <w:rsid w:val="1CFD070F"/>
    <w:rsid w:val="1D2C3700"/>
    <w:rsid w:val="1D5F6196"/>
    <w:rsid w:val="1D6132A5"/>
    <w:rsid w:val="1D8E56D5"/>
    <w:rsid w:val="1E7A43DA"/>
    <w:rsid w:val="1E9E064B"/>
    <w:rsid w:val="1F460337"/>
    <w:rsid w:val="1FAF44E7"/>
    <w:rsid w:val="1FB32514"/>
    <w:rsid w:val="1FE7539E"/>
    <w:rsid w:val="20671BE0"/>
    <w:rsid w:val="20963CB8"/>
    <w:rsid w:val="20A81A1B"/>
    <w:rsid w:val="20B07FB6"/>
    <w:rsid w:val="20B646FB"/>
    <w:rsid w:val="213B74B1"/>
    <w:rsid w:val="2150596F"/>
    <w:rsid w:val="215A2310"/>
    <w:rsid w:val="219B7247"/>
    <w:rsid w:val="21DE318A"/>
    <w:rsid w:val="21EF5B80"/>
    <w:rsid w:val="22575B1B"/>
    <w:rsid w:val="22576990"/>
    <w:rsid w:val="22790CBE"/>
    <w:rsid w:val="22E1230F"/>
    <w:rsid w:val="22F47480"/>
    <w:rsid w:val="239D37B5"/>
    <w:rsid w:val="23DE1C48"/>
    <w:rsid w:val="240210CD"/>
    <w:rsid w:val="241B2B73"/>
    <w:rsid w:val="245205C5"/>
    <w:rsid w:val="24BF09F7"/>
    <w:rsid w:val="252D53FE"/>
    <w:rsid w:val="25EC2D81"/>
    <w:rsid w:val="26E111BE"/>
    <w:rsid w:val="271A724E"/>
    <w:rsid w:val="27680FF1"/>
    <w:rsid w:val="276A30D7"/>
    <w:rsid w:val="277057A2"/>
    <w:rsid w:val="27824801"/>
    <w:rsid w:val="27886D38"/>
    <w:rsid w:val="27ED6783"/>
    <w:rsid w:val="291F1298"/>
    <w:rsid w:val="29206EB8"/>
    <w:rsid w:val="29595666"/>
    <w:rsid w:val="29874881"/>
    <w:rsid w:val="29CA25DE"/>
    <w:rsid w:val="29E325E0"/>
    <w:rsid w:val="2A0432BB"/>
    <w:rsid w:val="2A452503"/>
    <w:rsid w:val="2B5C5333"/>
    <w:rsid w:val="2B724BA9"/>
    <w:rsid w:val="2B9159B9"/>
    <w:rsid w:val="2BA936A8"/>
    <w:rsid w:val="2C315A5A"/>
    <w:rsid w:val="2C4B1C25"/>
    <w:rsid w:val="2D366C95"/>
    <w:rsid w:val="2D767667"/>
    <w:rsid w:val="2D9E56F5"/>
    <w:rsid w:val="2DDA32C6"/>
    <w:rsid w:val="2E667F96"/>
    <w:rsid w:val="2E8226AB"/>
    <w:rsid w:val="2EED1368"/>
    <w:rsid w:val="2EED4902"/>
    <w:rsid w:val="2FB0424E"/>
    <w:rsid w:val="2FD065E6"/>
    <w:rsid w:val="2FD96870"/>
    <w:rsid w:val="30580BC9"/>
    <w:rsid w:val="30AA292D"/>
    <w:rsid w:val="31195C72"/>
    <w:rsid w:val="311E2ED7"/>
    <w:rsid w:val="315619EE"/>
    <w:rsid w:val="315C449C"/>
    <w:rsid w:val="31B82709"/>
    <w:rsid w:val="31D05482"/>
    <w:rsid w:val="31F832E5"/>
    <w:rsid w:val="32166A76"/>
    <w:rsid w:val="32400B34"/>
    <w:rsid w:val="327A4691"/>
    <w:rsid w:val="329E6876"/>
    <w:rsid w:val="333015F2"/>
    <w:rsid w:val="334B6320"/>
    <w:rsid w:val="33D934D4"/>
    <w:rsid w:val="33FE2F6A"/>
    <w:rsid w:val="340E07E5"/>
    <w:rsid w:val="34235BF7"/>
    <w:rsid w:val="34A6315A"/>
    <w:rsid w:val="34C23DD9"/>
    <w:rsid w:val="353A692C"/>
    <w:rsid w:val="35773A99"/>
    <w:rsid w:val="358C5FA8"/>
    <w:rsid w:val="35C15DF1"/>
    <w:rsid w:val="36074A7F"/>
    <w:rsid w:val="36923549"/>
    <w:rsid w:val="36B75FBF"/>
    <w:rsid w:val="36BD0C45"/>
    <w:rsid w:val="37411FAD"/>
    <w:rsid w:val="37E00298"/>
    <w:rsid w:val="3891486E"/>
    <w:rsid w:val="38B302F9"/>
    <w:rsid w:val="38C86280"/>
    <w:rsid w:val="38F12CD3"/>
    <w:rsid w:val="38F94775"/>
    <w:rsid w:val="391E5966"/>
    <w:rsid w:val="392971ED"/>
    <w:rsid w:val="39325651"/>
    <w:rsid w:val="3A220C1D"/>
    <w:rsid w:val="3A6E340F"/>
    <w:rsid w:val="3A872856"/>
    <w:rsid w:val="3AB350C3"/>
    <w:rsid w:val="3B3763D1"/>
    <w:rsid w:val="3B886068"/>
    <w:rsid w:val="3C2F6E1E"/>
    <w:rsid w:val="3C4F64BA"/>
    <w:rsid w:val="3CDA245A"/>
    <w:rsid w:val="3D001FC2"/>
    <w:rsid w:val="3D1E06B7"/>
    <w:rsid w:val="3DEE7E94"/>
    <w:rsid w:val="3E584397"/>
    <w:rsid w:val="3EDA0523"/>
    <w:rsid w:val="3FF37BBC"/>
    <w:rsid w:val="407A6407"/>
    <w:rsid w:val="41A51A78"/>
    <w:rsid w:val="4200449D"/>
    <w:rsid w:val="423A3BCC"/>
    <w:rsid w:val="424E57D2"/>
    <w:rsid w:val="4276518F"/>
    <w:rsid w:val="42A057CB"/>
    <w:rsid w:val="42B26C49"/>
    <w:rsid w:val="433A6FE6"/>
    <w:rsid w:val="43480868"/>
    <w:rsid w:val="4350713C"/>
    <w:rsid w:val="436653E0"/>
    <w:rsid w:val="43C4431A"/>
    <w:rsid w:val="43F4312B"/>
    <w:rsid w:val="44951D82"/>
    <w:rsid w:val="44B951CC"/>
    <w:rsid w:val="44CD14E0"/>
    <w:rsid w:val="44F20B0B"/>
    <w:rsid w:val="44FD5909"/>
    <w:rsid w:val="452E5F4C"/>
    <w:rsid w:val="45612018"/>
    <w:rsid w:val="456739FA"/>
    <w:rsid w:val="458946E9"/>
    <w:rsid w:val="45A47C0E"/>
    <w:rsid w:val="46577FD6"/>
    <w:rsid w:val="46C10A0C"/>
    <w:rsid w:val="46D955A7"/>
    <w:rsid w:val="46E46BFE"/>
    <w:rsid w:val="47133957"/>
    <w:rsid w:val="4718493A"/>
    <w:rsid w:val="47A07E0C"/>
    <w:rsid w:val="4870272E"/>
    <w:rsid w:val="49DC7715"/>
    <w:rsid w:val="49EC0B04"/>
    <w:rsid w:val="49EF4F4F"/>
    <w:rsid w:val="4A023139"/>
    <w:rsid w:val="4A40339D"/>
    <w:rsid w:val="4A7B576F"/>
    <w:rsid w:val="4AF561A9"/>
    <w:rsid w:val="4B926B53"/>
    <w:rsid w:val="4BC55D8A"/>
    <w:rsid w:val="4BCF175D"/>
    <w:rsid w:val="4C4A0649"/>
    <w:rsid w:val="4C7E5ECA"/>
    <w:rsid w:val="4C876AA5"/>
    <w:rsid w:val="4CC813F8"/>
    <w:rsid w:val="4CCC1B99"/>
    <w:rsid w:val="4D0E00FB"/>
    <w:rsid w:val="4D176606"/>
    <w:rsid w:val="4DEC4FB0"/>
    <w:rsid w:val="4E075D8A"/>
    <w:rsid w:val="4E7B1EEB"/>
    <w:rsid w:val="4EC00FAD"/>
    <w:rsid w:val="4F9843DC"/>
    <w:rsid w:val="4FC62A8C"/>
    <w:rsid w:val="4FE20F0D"/>
    <w:rsid w:val="4FE51552"/>
    <w:rsid w:val="50504C4B"/>
    <w:rsid w:val="509C6E7C"/>
    <w:rsid w:val="50D64387"/>
    <w:rsid w:val="51433E75"/>
    <w:rsid w:val="5162104E"/>
    <w:rsid w:val="51FB7A61"/>
    <w:rsid w:val="520C3D16"/>
    <w:rsid w:val="52D64B89"/>
    <w:rsid w:val="53A039CC"/>
    <w:rsid w:val="53A1505A"/>
    <w:rsid w:val="53AE70BB"/>
    <w:rsid w:val="54063E08"/>
    <w:rsid w:val="543437E8"/>
    <w:rsid w:val="54DC7112"/>
    <w:rsid w:val="54F73313"/>
    <w:rsid w:val="54F80955"/>
    <w:rsid w:val="555170A7"/>
    <w:rsid w:val="5587536D"/>
    <w:rsid w:val="558B61BF"/>
    <w:rsid w:val="559B174B"/>
    <w:rsid w:val="55CE0CF4"/>
    <w:rsid w:val="56B22A9C"/>
    <w:rsid w:val="578637BF"/>
    <w:rsid w:val="57B72A76"/>
    <w:rsid w:val="57C3426C"/>
    <w:rsid w:val="57CE1F93"/>
    <w:rsid w:val="588743D1"/>
    <w:rsid w:val="5887701A"/>
    <w:rsid w:val="58EA52C3"/>
    <w:rsid w:val="59420F79"/>
    <w:rsid w:val="59C0439F"/>
    <w:rsid w:val="5ABE2233"/>
    <w:rsid w:val="5AE12321"/>
    <w:rsid w:val="5AEB4C7E"/>
    <w:rsid w:val="5AFE3765"/>
    <w:rsid w:val="5BDF5D95"/>
    <w:rsid w:val="5BFE7528"/>
    <w:rsid w:val="5C484E6C"/>
    <w:rsid w:val="5CA64281"/>
    <w:rsid w:val="5D5A0155"/>
    <w:rsid w:val="5DE05BAD"/>
    <w:rsid w:val="5E0245C9"/>
    <w:rsid w:val="5E2467F1"/>
    <w:rsid w:val="5E78409E"/>
    <w:rsid w:val="5EBD51FE"/>
    <w:rsid w:val="5F1A2B43"/>
    <w:rsid w:val="5FB837BB"/>
    <w:rsid w:val="60CC405A"/>
    <w:rsid w:val="61E215D8"/>
    <w:rsid w:val="62176D46"/>
    <w:rsid w:val="621B3775"/>
    <w:rsid w:val="622A586C"/>
    <w:rsid w:val="622C0C5F"/>
    <w:rsid w:val="62364782"/>
    <w:rsid w:val="629D721B"/>
    <w:rsid w:val="634242B1"/>
    <w:rsid w:val="6394356A"/>
    <w:rsid w:val="63A13A48"/>
    <w:rsid w:val="63C61B2C"/>
    <w:rsid w:val="63D40BE9"/>
    <w:rsid w:val="64044A65"/>
    <w:rsid w:val="64102431"/>
    <w:rsid w:val="64984A66"/>
    <w:rsid w:val="64A5243A"/>
    <w:rsid w:val="64F531DE"/>
    <w:rsid w:val="65373578"/>
    <w:rsid w:val="656D5AC2"/>
    <w:rsid w:val="660B5893"/>
    <w:rsid w:val="671F124A"/>
    <w:rsid w:val="677A33C6"/>
    <w:rsid w:val="67DC47CB"/>
    <w:rsid w:val="681F6961"/>
    <w:rsid w:val="68610A2F"/>
    <w:rsid w:val="687D4A3B"/>
    <w:rsid w:val="68805514"/>
    <w:rsid w:val="68B32778"/>
    <w:rsid w:val="68D43793"/>
    <w:rsid w:val="69316E2F"/>
    <w:rsid w:val="694E2071"/>
    <w:rsid w:val="695F4687"/>
    <w:rsid w:val="69766163"/>
    <w:rsid w:val="697A3B33"/>
    <w:rsid w:val="69D44760"/>
    <w:rsid w:val="69ED23C7"/>
    <w:rsid w:val="6A520EC7"/>
    <w:rsid w:val="6A65698A"/>
    <w:rsid w:val="6AF87E20"/>
    <w:rsid w:val="6B322639"/>
    <w:rsid w:val="6B3755BD"/>
    <w:rsid w:val="6B724DF9"/>
    <w:rsid w:val="6BCE69A4"/>
    <w:rsid w:val="6BE6183C"/>
    <w:rsid w:val="6C636C38"/>
    <w:rsid w:val="6CB00E65"/>
    <w:rsid w:val="6CE47AAA"/>
    <w:rsid w:val="6CE7626B"/>
    <w:rsid w:val="6CF31FF0"/>
    <w:rsid w:val="6DB34098"/>
    <w:rsid w:val="6DB545B6"/>
    <w:rsid w:val="6DE02FB4"/>
    <w:rsid w:val="6E514CED"/>
    <w:rsid w:val="6EB563D5"/>
    <w:rsid w:val="6ED92677"/>
    <w:rsid w:val="6F225983"/>
    <w:rsid w:val="6F3A7987"/>
    <w:rsid w:val="6F3C793D"/>
    <w:rsid w:val="6FC43127"/>
    <w:rsid w:val="6FFC5590"/>
    <w:rsid w:val="706D1DD0"/>
    <w:rsid w:val="70856B87"/>
    <w:rsid w:val="70D527EE"/>
    <w:rsid w:val="70D87EB6"/>
    <w:rsid w:val="715B5300"/>
    <w:rsid w:val="71D27F8A"/>
    <w:rsid w:val="72553024"/>
    <w:rsid w:val="73122968"/>
    <w:rsid w:val="731F5D5E"/>
    <w:rsid w:val="73C51AD5"/>
    <w:rsid w:val="73F0209C"/>
    <w:rsid w:val="741C4C2C"/>
    <w:rsid w:val="741E793C"/>
    <w:rsid w:val="745E3944"/>
    <w:rsid w:val="74C3473D"/>
    <w:rsid w:val="7635099D"/>
    <w:rsid w:val="767E547A"/>
    <w:rsid w:val="76E308DF"/>
    <w:rsid w:val="76F15830"/>
    <w:rsid w:val="77762421"/>
    <w:rsid w:val="77A213F1"/>
    <w:rsid w:val="77B56B1F"/>
    <w:rsid w:val="780F09F4"/>
    <w:rsid w:val="78385597"/>
    <w:rsid w:val="7857700D"/>
    <w:rsid w:val="78A90480"/>
    <w:rsid w:val="79E472F9"/>
    <w:rsid w:val="7A364017"/>
    <w:rsid w:val="7A71630A"/>
    <w:rsid w:val="7A8265E1"/>
    <w:rsid w:val="7B5513F0"/>
    <w:rsid w:val="7B686D42"/>
    <w:rsid w:val="7B841746"/>
    <w:rsid w:val="7BDA29E9"/>
    <w:rsid w:val="7BE364E4"/>
    <w:rsid w:val="7C0E378D"/>
    <w:rsid w:val="7C6C5AC7"/>
    <w:rsid w:val="7CBE66AB"/>
    <w:rsid w:val="7CC07253"/>
    <w:rsid w:val="7CC6544B"/>
    <w:rsid w:val="7D0239FF"/>
    <w:rsid w:val="7D4F42C4"/>
    <w:rsid w:val="7D5E40CD"/>
    <w:rsid w:val="7D764BEE"/>
    <w:rsid w:val="7DCD56F2"/>
    <w:rsid w:val="7EA54A15"/>
    <w:rsid w:val="7F001CE7"/>
    <w:rsid w:val="7F3C39D0"/>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nhideWhenUsed="0" w:uiPriority="39"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qFormat="1"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link w:val="87"/>
    <w:qFormat/>
    <w:locked/>
    <w:uiPriority w:val="0"/>
    <w:pPr>
      <w:keepNext/>
      <w:keepLines/>
      <w:spacing w:before="193" w:beforeLines="50" w:after="193" w:afterLines="50" w:line="360" w:lineRule="auto"/>
      <w:outlineLvl w:val="1"/>
    </w:pPr>
    <w:rPr>
      <w:sz w:val="28"/>
    </w:rPr>
  </w:style>
  <w:style w:type="paragraph" w:styleId="5">
    <w:name w:val="heading 3"/>
    <w:basedOn w:val="1"/>
    <w:next w:val="1"/>
    <w:qFormat/>
    <w:locked/>
    <w:uiPriority w:val="0"/>
    <w:pPr>
      <w:keepNext/>
      <w:keepLines/>
      <w:spacing w:line="360" w:lineRule="auto"/>
      <w:outlineLvl w:val="2"/>
    </w:pPr>
    <w:rPr>
      <w:b/>
      <w:bCs/>
      <w:sz w:val="24"/>
      <w:szCs w:val="32"/>
    </w:rPr>
  </w:style>
  <w:style w:type="paragraph" w:styleId="6">
    <w:name w:val="heading 4"/>
    <w:basedOn w:val="1"/>
    <w:next w:val="1"/>
    <w:qFormat/>
    <w:locked/>
    <w:uiPriority w:val="0"/>
    <w:pPr>
      <w:keepNext/>
      <w:keepLines/>
      <w:numPr>
        <w:ilvl w:val="3"/>
        <w:numId w:val="1"/>
      </w:numPr>
      <w:spacing w:before="280" w:after="290" w:line="376" w:lineRule="auto"/>
      <w:outlineLvl w:val="3"/>
    </w:pPr>
    <w:rPr>
      <w:rFonts w:ascii="Arial" w:hAnsi="Arial"/>
      <w:b/>
      <w:sz w:val="24"/>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3"/>
    <w:qFormat/>
    <w:uiPriority w:val="0"/>
    <w:pPr>
      <w:widowControl/>
      <w:snapToGrid w:val="0"/>
      <w:spacing w:before="60" w:after="160" w:line="259" w:lineRule="auto"/>
      <w:ind w:right="113"/>
    </w:pPr>
    <w:rPr>
      <w:kern w:val="0"/>
      <w:sz w:val="18"/>
      <w:szCs w:val="20"/>
    </w:rPr>
  </w:style>
  <w:style w:type="paragraph" w:styleId="7">
    <w:name w:val="Normal Indent"/>
    <w:basedOn w:val="1"/>
    <w:next w:val="1"/>
    <w:qFormat/>
    <w:locked/>
    <w:uiPriority w:val="0"/>
    <w:rPr>
      <w:rFonts w:eastAsia="黑体"/>
      <w:sz w:val="28"/>
    </w:rPr>
  </w:style>
  <w:style w:type="paragraph" w:styleId="8">
    <w:name w:val="annotation text"/>
    <w:basedOn w:val="1"/>
    <w:link w:val="34"/>
    <w:semiHidden/>
    <w:qFormat/>
    <w:uiPriority w:val="0"/>
    <w:pPr>
      <w:jc w:val="left"/>
    </w:pPr>
    <w:rPr>
      <w:kern w:val="0"/>
      <w:sz w:val="24"/>
      <w:szCs w:val="20"/>
    </w:rPr>
  </w:style>
  <w:style w:type="paragraph" w:styleId="9">
    <w:name w:val="Body Text Indent"/>
    <w:basedOn w:val="1"/>
    <w:next w:val="10"/>
    <w:link w:val="35"/>
    <w:qFormat/>
    <w:uiPriority w:val="0"/>
    <w:pPr>
      <w:spacing w:after="120"/>
      <w:ind w:left="420" w:leftChars="200"/>
    </w:pPr>
    <w:rPr>
      <w:kern w:val="0"/>
      <w:sz w:val="24"/>
      <w:szCs w:val="20"/>
    </w:rPr>
  </w:style>
  <w:style w:type="paragraph" w:styleId="10">
    <w:name w:val="header"/>
    <w:basedOn w:val="1"/>
    <w:link w:val="36"/>
    <w:qFormat/>
    <w:uiPriority w:val="0"/>
    <w:pPr>
      <w:pBdr>
        <w:bottom w:val="single" w:color="auto" w:sz="6" w:space="1"/>
      </w:pBdr>
      <w:tabs>
        <w:tab w:val="center" w:pos="4153"/>
        <w:tab w:val="right" w:pos="8306"/>
      </w:tabs>
      <w:snapToGrid w:val="0"/>
      <w:jc w:val="center"/>
    </w:pPr>
    <w:rPr>
      <w:kern w:val="0"/>
      <w:sz w:val="18"/>
      <w:szCs w:val="20"/>
    </w:rPr>
  </w:style>
  <w:style w:type="paragraph" w:styleId="11">
    <w:name w:val="toc 3"/>
    <w:basedOn w:val="1"/>
    <w:next w:val="1"/>
    <w:qFormat/>
    <w:locked/>
    <w:uiPriority w:val="0"/>
    <w:pPr>
      <w:ind w:left="840" w:leftChars="400"/>
    </w:pPr>
  </w:style>
  <w:style w:type="paragraph" w:styleId="12">
    <w:name w:val="Plain Text"/>
    <w:basedOn w:val="1"/>
    <w:qFormat/>
    <w:locked/>
    <w:uiPriority w:val="0"/>
    <w:pPr>
      <w:snapToGrid w:val="0"/>
      <w:spacing w:line="520" w:lineRule="atLeast"/>
      <w:ind w:firstLine="420"/>
    </w:pPr>
    <w:rPr>
      <w:rFonts w:ascii="宋体" w:hAnsi="Courier New"/>
      <w:sz w:val="28"/>
    </w:rPr>
  </w:style>
  <w:style w:type="paragraph" w:styleId="13">
    <w:name w:val="List Bullet 5"/>
    <w:basedOn w:val="1"/>
    <w:qFormat/>
    <w:locked/>
    <w:uiPriority w:val="0"/>
    <w:pPr>
      <w:numPr>
        <w:ilvl w:val="0"/>
        <w:numId w:val="2"/>
      </w:numPr>
    </w:pPr>
  </w:style>
  <w:style w:type="paragraph" w:styleId="14">
    <w:name w:val="Date"/>
    <w:basedOn w:val="1"/>
    <w:next w:val="1"/>
    <w:link w:val="37"/>
    <w:qFormat/>
    <w:uiPriority w:val="0"/>
    <w:pPr>
      <w:ind w:left="100" w:leftChars="2500"/>
    </w:pPr>
    <w:rPr>
      <w:kern w:val="0"/>
      <w:sz w:val="24"/>
      <w:szCs w:val="20"/>
    </w:rPr>
  </w:style>
  <w:style w:type="paragraph" w:styleId="15">
    <w:name w:val="Balloon Text"/>
    <w:basedOn w:val="1"/>
    <w:link w:val="38"/>
    <w:semiHidden/>
    <w:qFormat/>
    <w:uiPriority w:val="0"/>
    <w:rPr>
      <w:kern w:val="0"/>
      <w:sz w:val="18"/>
      <w:szCs w:val="20"/>
    </w:rPr>
  </w:style>
  <w:style w:type="paragraph" w:styleId="16">
    <w:name w:val="footer"/>
    <w:basedOn w:val="1"/>
    <w:link w:val="39"/>
    <w:qFormat/>
    <w:uiPriority w:val="99"/>
    <w:pPr>
      <w:tabs>
        <w:tab w:val="center" w:pos="4153"/>
        <w:tab w:val="right" w:pos="8306"/>
      </w:tabs>
      <w:snapToGrid w:val="0"/>
      <w:jc w:val="left"/>
    </w:pPr>
    <w:rPr>
      <w:kern w:val="0"/>
      <w:sz w:val="18"/>
      <w:szCs w:val="20"/>
    </w:rPr>
  </w:style>
  <w:style w:type="paragraph" w:styleId="17">
    <w:name w:val="toc 1"/>
    <w:basedOn w:val="1"/>
    <w:next w:val="1"/>
    <w:qFormat/>
    <w:locked/>
    <w:uiPriority w:val="39"/>
    <w:pPr>
      <w:tabs>
        <w:tab w:val="left" w:pos="1568"/>
        <w:tab w:val="right" w:leader="dot" w:pos="9060"/>
      </w:tabs>
      <w:spacing w:line="440" w:lineRule="exact"/>
      <w:ind w:left="210" w:leftChars="100" w:right="210" w:rightChars="100"/>
      <w:jc w:val="right"/>
    </w:pPr>
    <w:rPr>
      <w:sz w:val="30"/>
      <w:szCs w:val="30"/>
    </w:rPr>
  </w:style>
  <w:style w:type="paragraph" w:styleId="18">
    <w:name w:val="List"/>
    <w:basedOn w:val="1"/>
    <w:qFormat/>
    <w:locked/>
    <w:uiPriority w:val="0"/>
    <w:pPr>
      <w:widowControl/>
      <w:spacing w:line="440" w:lineRule="exact"/>
      <w:ind w:left="200" w:hanging="200"/>
      <w:jc w:val="left"/>
    </w:pPr>
    <w:rPr>
      <w:kern w:val="0"/>
      <w:sz w:val="24"/>
      <w:szCs w:val="20"/>
    </w:rPr>
  </w:style>
  <w:style w:type="paragraph" w:styleId="19">
    <w:name w:val="table of figures"/>
    <w:basedOn w:val="1"/>
    <w:next w:val="1"/>
    <w:qFormat/>
    <w:locked/>
    <w:uiPriority w:val="0"/>
    <w:pPr>
      <w:spacing w:before="50" w:beforeLines="50" w:after="50" w:afterLines="50"/>
      <w:jc w:val="center"/>
    </w:pPr>
    <w:rPr>
      <w:b/>
      <w:sz w:val="28"/>
    </w:rPr>
  </w:style>
  <w:style w:type="paragraph" w:styleId="20">
    <w:name w:val="toc 2"/>
    <w:basedOn w:val="1"/>
    <w:next w:val="1"/>
    <w:qFormat/>
    <w:locked/>
    <w:uiPriority w:val="39"/>
    <w:pPr>
      <w:ind w:left="420" w:leftChars="200"/>
    </w:pPr>
  </w:style>
  <w:style w:type="paragraph" w:styleId="21">
    <w:name w:val="Normal (Web)"/>
    <w:basedOn w:val="1"/>
    <w:link w:val="40"/>
    <w:qFormat/>
    <w:uiPriority w:val="0"/>
    <w:pPr>
      <w:widowControl/>
      <w:spacing w:before="100" w:beforeAutospacing="1" w:after="100" w:afterAutospacing="1"/>
      <w:jc w:val="left"/>
    </w:pPr>
    <w:rPr>
      <w:rFonts w:ascii="宋体" w:hAnsi="宋体"/>
      <w:kern w:val="0"/>
      <w:sz w:val="24"/>
      <w:szCs w:val="20"/>
    </w:rPr>
  </w:style>
  <w:style w:type="paragraph" w:styleId="22">
    <w:name w:val="Title"/>
    <w:basedOn w:val="1"/>
    <w:next w:val="1"/>
    <w:qFormat/>
    <w:locked/>
    <w:uiPriority w:val="0"/>
    <w:pPr>
      <w:outlineLvl w:val="0"/>
    </w:pPr>
    <w:rPr>
      <w:rFonts w:ascii="Cambria" w:hAnsi="Cambria"/>
      <w:b/>
      <w:bCs/>
      <w:sz w:val="32"/>
      <w:szCs w:val="32"/>
    </w:rPr>
  </w:style>
  <w:style w:type="paragraph" w:styleId="23">
    <w:name w:val="annotation subject"/>
    <w:basedOn w:val="8"/>
    <w:next w:val="8"/>
    <w:link w:val="41"/>
    <w:semiHidden/>
    <w:qFormat/>
    <w:uiPriority w:val="0"/>
    <w:rPr>
      <w:b/>
      <w:kern w:val="2"/>
    </w:rPr>
  </w:style>
  <w:style w:type="paragraph" w:styleId="24">
    <w:name w:val="Body Text First Indent"/>
    <w:basedOn w:val="2"/>
    <w:qFormat/>
    <w:locked/>
    <w:uiPriority w:val="0"/>
    <w:pPr>
      <w:spacing w:after="120" w:line="240" w:lineRule="auto"/>
      <w:ind w:firstLine="420" w:firstLineChars="100"/>
    </w:pPr>
    <w:rPr>
      <w:rFonts w:hAnsi="金山简宋体"/>
      <w:sz w:val="30"/>
      <w:szCs w:val="24"/>
    </w:rPr>
  </w:style>
  <w:style w:type="paragraph" w:styleId="25">
    <w:name w:val="Body Text First Indent 2"/>
    <w:basedOn w:val="9"/>
    <w:next w:val="1"/>
    <w:unhideWhenUsed/>
    <w:qFormat/>
    <w:locked/>
    <w:uiPriority w:val="0"/>
    <w:pPr>
      <w:ind w:firstLine="420" w:firstLineChars="200"/>
    </w:pPr>
    <w:rPr>
      <w:kern w:val="2"/>
      <w:sz w:val="21"/>
      <w:szCs w:val="24"/>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locked/>
    <w:uiPriority w:val="0"/>
    <w:rPr>
      <w:b/>
    </w:rPr>
  </w:style>
  <w:style w:type="character" w:styleId="30">
    <w:name w:val="page number"/>
    <w:qFormat/>
    <w:locked/>
    <w:uiPriority w:val="0"/>
  </w:style>
  <w:style w:type="character" w:styleId="31">
    <w:name w:val="Hyperlink"/>
    <w:qFormat/>
    <w:locked/>
    <w:uiPriority w:val="99"/>
    <w:rPr>
      <w:color w:val="0000FF"/>
      <w:u w:val="single"/>
    </w:rPr>
  </w:style>
  <w:style w:type="character" w:styleId="32">
    <w:name w:val="annotation reference"/>
    <w:semiHidden/>
    <w:qFormat/>
    <w:uiPriority w:val="0"/>
    <w:rPr>
      <w:sz w:val="21"/>
    </w:rPr>
  </w:style>
  <w:style w:type="character" w:customStyle="1" w:styleId="33">
    <w:name w:val="正文文本 字符"/>
    <w:link w:val="2"/>
    <w:qFormat/>
    <w:locked/>
    <w:uiPriority w:val="0"/>
    <w:rPr>
      <w:sz w:val="18"/>
    </w:rPr>
  </w:style>
  <w:style w:type="character" w:customStyle="1" w:styleId="34">
    <w:name w:val="批注文字 字符"/>
    <w:link w:val="8"/>
    <w:qFormat/>
    <w:locked/>
    <w:uiPriority w:val="0"/>
    <w:rPr>
      <w:rFonts w:ascii="Times New Roman" w:hAnsi="Times New Roman" w:eastAsia="宋体"/>
      <w:sz w:val="24"/>
    </w:rPr>
  </w:style>
  <w:style w:type="character" w:customStyle="1" w:styleId="35">
    <w:name w:val="正文文本缩进 字符"/>
    <w:link w:val="9"/>
    <w:semiHidden/>
    <w:qFormat/>
    <w:locked/>
    <w:uiPriority w:val="0"/>
    <w:rPr>
      <w:rFonts w:ascii="Times New Roman" w:hAnsi="Times New Roman" w:eastAsia="宋体"/>
      <w:sz w:val="24"/>
    </w:rPr>
  </w:style>
  <w:style w:type="character" w:customStyle="1" w:styleId="36">
    <w:name w:val="页眉 字符"/>
    <w:link w:val="10"/>
    <w:qFormat/>
    <w:locked/>
    <w:uiPriority w:val="0"/>
    <w:rPr>
      <w:sz w:val="18"/>
    </w:rPr>
  </w:style>
  <w:style w:type="character" w:customStyle="1" w:styleId="37">
    <w:name w:val="日期 字符1"/>
    <w:link w:val="14"/>
    <w:qFormat/>
    <w:locked/>
    <w:uiPriority w:val="0"/>
    <w:rPr>
      <w:rFonts w:ascii="Times New Roman" w:hAnsi="Times New Roman" w:eastAsia="宋体"/>
      <w:sz w:val="24"/>
    </w:rPr>
  </w:style>
  <w:style w:type="character" w:customStyle="1" w:styleId="38">
    <w:name w:val="批注框文本 字符"/>
    <w:link w:val="15"/>
    <w:semiHidden/>
    <w:qFormat/>
    <w:locked/>
    <w:uiPriority w:val="0"/>
    <w:rPr>
      <w:rFonts w:ascii="Times New Roman" w:hAnsi="Times New Roman" w:eastAsia="宋体"/>
      <w:sz w:val="18"/>
    </w:rPr>
  </w:style>
  <w:style w:type="character" w:customStyle="1" w:styleId="39">
    <w:name w:val="页脚 字符1"/>
    <w:link w:val="16"/>
    <w:qFormat/>
    <w:locked/>
    <w:uiPriority w:val="99"/>
    <w:rPr>
      <w:sz w:val="18"/>
    </w:rPr>
  </w:style>
  <w:style w:type="character" w:customStyle="1" w:styleId="40">
    <w:name w:val="普通(网站) 字符"/>
    <w:link w:val="21"/>
    <w:qFormat/>
    <w:locked/>
    <w:uiPriority w:val="0"/>
    <w:rPr>
      <w:rFonts w:ascii="宋体" w:hAnsi="宋体" w:eastAsia="宋体"/>
      <w:sz w:val="24"/>
    </w:rPr>
  </w:style>
  <w:style w:type="character" w:customStyle="1" w:styleId="41">
    <w:name w:val="批注主题 字符"/>
    <w:link w:val="23"/>
    <w:semiHidden/>
    <w:qFormat/>
    <w:locked/>
    <w:uiPriority w:val="0"/>
    <w:rPr>
      <w:rFonts w:ascii="Times New Roman" w:hAnsi="Times New Roman" w:eastAsia="宋体"/>
      <w:b/>
      <w:kern w:val="2"/>
      <w:sz w:val="24"/>
    </w:rPr>
  </w:style>
  <w:style w:type="paragraph" w:customStyle="1" w:styleId="42">
    <w:name w:val="Default1"/>
    <w:basedOn w:val="18"/>
    <w:qFormat/>
    <w:uiPriority w:val="0"/>
    <w:pPr>
      <w:widowControl w:val="0"/>
      <w:autoSpaceDE w:val="0"/>
      <w:autoSpaceDN w:val="0"/>
      <w:adjustRightInd w:val="0"/>
    </w:pPr>
    <w:rPr>
      <w:rFonts w:ascii="宋体" w:hAnsi="Calibri" w:eastAsia="微软雅黑" w:cs="宋体"/>
      <w:color w:val="000000"/>
      <w:szCs w:val="24"/>
    </w:rPr>
  </w:style>
  <w:style w:type="paragraph" w:customStyle="1" w:styleId="43">
    <w:name w:val="Table Paragraph"/>
    <w:basedOn w:val="1"/>
    <w:qFormat/>
    <w:uiPriority w:val="1"/>
    <w:rPr>
      <w:rFonts w:ascii="宋体" w:hAnsi="宋体" w:cs="宋体"/>
      <w:lang w:val="zh-CN" w:bidi="zh-CN"/>
    </w:rPr>
  </w:style>
  <w:style w:type="paragraph" w:customStyle="1" w:styleId="44">
    <w:name w:val="Default"/>
    <w:basedOn w:val="45"/>
    <w:next w:val="46"/>
    <w:qFormat/>
    <w:uiPriority w:val="0"/>
    <w:pPr>
      <w:widowControl w:val="0"/>
      <w:autoSpaceDE w:val="0"/>
      <w:autoSpaceDN w:val="0"/>
    </w:pPr>
    <w:rPr>
      <w:rFonts w:ascii="宋体" w:eastAsia="宋体" w:cs="宋体"/>
      <w:color w:val="000000"/>
      <w:sz w:val="24"/>
    </w:rPr>
  </w:style>
  <w:style w:type="paragraph" w:customStyle="1" w:styleId="45">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46">
    <w:name w:val="样式35"/>
    <w:basedOn w:val="1"/>
    <w:next w:val="1"/>
    <w:qFormat/>
    <w:uiPriority w:val="0"/>
    <w:pPr>
      <w:spacing w:line="312" w:lineRule="auto"/>
      <w:ind w:firstLine="567"/>
    </w:pPr>
    <w:rPr>
      <w:rFonts w:ascii="宋体"/>
      <w:sz w:val="28"/>
    </w:rPr>
  </w:style>
  <w:style w:type="paragraph" w:customStyle="1" w:styleId="47">
    <w:name w:val="纯文本1"/>
    <w:basedOn w:val="1"/>
    <w:qFormat/>
    <w:uiPriority w:val="0"/>
    <w:rPr>
      <w:rFonts w:ascii="宋体" w:hAnsi="Courier New"/>
      <w:kern w:val="0"/>
      <w:sz w:val="20"/>
      <w:szCs w:val="20"/>
    </w:rPr>
  </w:style>
  <w:style w:type="character" w:customStyle="1" w:styleId="48">
    <w:name w:val="表格 Char"/>
    <w:link w:val="49"/>
    <w:qFormat/>
    <w:locked/>
    <w:uiPriority w:val="0"/>
    <w:rPr>
      <w:rFonts w:ascii="宋体"/>
      <w:sz w:val="21"/>
    </w:rPr>
  </w:style>
  <w:style w:type="paragraph" w:customStyle="1" w:styleId="49">
    <w:name w:val="表格"/>
    <w:basedOn w:val="17"/>
    <w:next w:val="50"/>
    <w:link w:val="48"/>
    <w:qFormat/>
    <w:uiPriority w:val="0"/>
    <w:pPr>
      <w:adjustRightInd w:val="0"/>
      <w:snapToGrid w:val="0"/>
      <w:spacing w:beforeLines="10" w:afterLines="10" w:line="259" w:lineRule="auto"/>
      <w:jc w:val="center"/>
    </w:pPr>
    <w:rPr>
      <w:rFonts w:ascii="宋体"/>
      <w:kern w:val="0"/>
      <w:sz w:val="21"/>
      <w:szCs w:val="20"/>
    </w:rPr>
  </w:style>
  <w:style w:type="paragraph" w:customStyle="1" w:styleId="50">
    <w:name w:val="正文1"/>
    <w:qFormat/>
    <w:uiPriority w:val="0"/>
    <w:pPr>
      <w:widowControl w:val="0"/>
      <w:tabs>
        <w:tab w:val="left" w:pos="567"/>
      </w:tabs>
      <w:adjustRightInd w:val="0"/>
      <w:spacing w:line="360" w:lineRule="atLeast"/>
      <w:ind w:left="567" w:hanging="567"/>
      <w:textAlignment w:val="baseline"/>
    </w:pPr>
    <w:rPr>
      <w:rFonts w:ascii="宋体" w:hAnsi="Calibri" w:eastAsia="宋体" w:cs="Times New Roman"/>
      <w:sz w:val="24"/>
      <w:lang w:val="en-US" w:eastAsia="zh-CN" w:bidi="ar-SA"/>
    </w:rPr>
  </w:style>
  <w:style w:type="character" w:customStyle="1" w:styleId="51">
    <w:name w:val="页脚 字符"/>
    <w:qFormat/>
    <w:uiPriority w:val="99"/>
  </w:style>
  <w:style w:type="character" w:customStyle="1" w:styleId="52">
    <w:name w:val="批注文字 字符1"/>
    <w:semiHidden/>
    <w:qFormat/>
    <w:uiPriority w:val="0"/>
    <w:rPr>
      <w:rFonts w:ascii="Times New Roman" w:hAnsi="Times New Roman" w:eastAsia="宋体"/>
      <w:sz w:val="24"/>
    </w:rPr>
  </w:style>
  <w:style w:type="character" w:customStyle="1" w:styleId="53">
    <w:name w:val="日期 字符"/>
    <w:semiHidden/>
    <w:qFormat/>
    <w:uiPriority w:val="0"/>
    <w:rPr>
      <w:rFonts w:ascii="Times New Roman" w:hAnsi="Times New Roman" w:eastAsia="宋体"/>
      <w:sz w:val="24"/>
    </w:rPr>
  </w:style>
  <w:style w:type="character" w:customStyle="1" w:styleId="54">
    <w:name w:val="正文文本 字符1"/>
    <w:semiHidden/>
    <w:qFormat/>
    <w:uiPriority w:val="0"/>
    <w:rPr>
      <w:rFonts w:ascii="Times New Roman" w:hAnsi="Times New Roman" w:eastAsia="宋体"/>
      <w:sz w:val="24"/>
    </w:rPr>
  </w:style>
  <w:style w:type="paragraph" w:customStyle="1" w:styleId="55">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56">
    <w:name w:val="p0"/>
    <w:basedOn w:val="1"/>
    <w:qFormat/>
    <w:uiPriority w:val="0"/>
    <w:rPr>
      <w:kern w:val="0"/>
      <w:szCs w:val="21"/>
    </w:rPr>
  </w:style>
  <w:style w:type="paragraph" w:customStyle="1" w:styleId="57">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我的正文 Char"/>
    <w:basedOn w:val="1"/>
    <w:qFormat/>
    <w:uiPriority w:val="99"/>
    <w:pPr>
      <w:ind w:firstLine="560" w:firstLineChars="200"/>
    </w:pPr>
    <w:rPr>
      <w:sz w:val="28"/>
    </w:rPr>
  </w:style>
  <w:style w:type="paragraph" w:customStyle="1" w:styleId="59">
    <w:name w:val="Char Char Char Char Char Char Char Char Char Char Char"/>
    <w:qFormat/>
    <w:uiPriority w:val="0"/>
    <w:pPr>
      <w:widowControl w:val="0"/>
      <w:adjustRightInd w:val="0"/>
      <w:snapToGrid w:val="0"/>
      <w:spacing w:beforeLines="50"/>
      <w:jc w:val="center"/>
    </w:pPr>
    <w:rPr>
      <w:rFonts w:ascii="Calibri" w:hAnsi="Calibri" w:eastAsia="黑体" w:cs="Times New Roman"/>
      <w:kern w:val="2"/>
      <w:sz w:val="24"/>
      <w:szCs w:val="24"/>
      <w:lang w:val="en-US" w:eastAsia="zh-CN" w:bidi="ar-SA"/>
    </w:rPr>
  </w:style>
  <w:style w:type="paragraph" w:customStyle="1" w:styleId="60">
    <w:name w:val="填表4小中单倍行距"/>
    <w:basedOn w:val="1"/>
    <w:qFormat/>
    <w:uiPriority w:val="0"/>
    <w:pPr>
      <w:snapToGrid w:val="0"/>
      <w:jc w:val="center"/>
    </w:pPr>
    <w:rPr>
      <w:rFonts w:ascii="宋体" w:cs="宋体"/>
      <w:szCs w:val="20"/>
    </w:rPr>
  </w:style>
  <w:style w:type="paragraph" w:customStyle="1" w:styleId="61">
    <w:name w:val="填表5中"/>
    <w:basedOn w:val="1"/>
    <w:next w:val="1"/>
    <w:qFormat/>
    <w:uiPriority w:val="0"/>
    <w:pPr>
      <w:jc w:val="center"/>
    </w:pPr>
    <w:rPr>
      <w:rFonts w:ascii="宋体" w:hAnsi="Calibri"/>
      <w:szCs w:val="21"/>
    </w:rPr>
  </w:style>
  <w:style w:type="paragraph" w:customStyle="1" w:styleId="62">
    <w:name w:val="列出段落9"/>
    <w:basedOn w:val="1"/>
    <w:qFormat/>
    <w:uiPriority w:val="0"/>
    <w:pPr>
      <w:spacing w:line="360" w:lineRule="auto"/>
      <w:ind w:firstLine="420" w:firstLineChars="200"/>
    </w:pPr>
    <w:rPr>
      <w:rFonts w:ascii="Calibri"/>
    </w:rPr>
  </w:style>
  <w:style w:type="character" w:customStyle="1" w:styleId="63">
    <w:name w:val="fontstyle11"/>
    <w:qFormat/>
    <w:uiPriority w:val="0"/>
    <w:rPr>
      <w:rFonts w:hint="default" w:ascii="TimesNewRomanPSMT" w:hAnsi="TimesNewRomanPSMT"/>
      <w:color w:val="000000"/>
      <w:sz w:val="24"/>
      <w:szCs w:val="24"/>
    </w:rPr>
  </w:style>
  <w:style w:type="character" w:customStyle="1" w:styleId="64">
    <w:name w:val="unnamed11"/>
    <w:qFormat/>
    <w:uiPriority w:val="0"/>
    <w:rPr>
      <w:sz w:val="21"/>
    </w:rPr>
  </w:style>
  <w:style w:type="paragraph" w:customStyle="1" w:styleId="65">
    <w:name w:val="正文-ls"/>
    <w:basedOn w:val="1"/>
    <w:qFormat/>
    <w:uiPriority w:val="99"/>
    <w:pPr>
      <w:spacing w:line="360" w:lineRule="auto"/>
      <w:ind w:firstLine="200" w:firstLineChars="200"/>
    </w:pPr>
    <w:rPr>
      <w:rFonts w:hAnsi="宋体" w:cs="宋体"/>
      <w:sz w:val="24"/>
      <w:szCs w:val="20"/>
    </w:rPr>
  </w:style>
  <w:style w:type="paragraph" w:customStyle="1" w:styleId="66">
    <w:name w:val="表格标题"/>
    <w:basedOn w:val="1"/>
    <w:next w:val="1"/>
    <w:qFormat/>
    <w:uiPriority w:val="0"/>
    <w:pPr>
      <w:adjustRightInd w:val="0"/>
      <w:spacing w:line="360" w:lineRule="auto"/>
      <w:jc w:val="center"/>
    </w:pPr>
    <w:rPr>
      <w:b/>
      <w:kern w:val="0"/>
      <w:szCs w:val="28"/>
    </w:rPr>
  </w:style>
  <w:style w:type="paragraph" w:customStyle="1" w:styleId="67">
    <w:name w:val="表中文字"/>
    <w:basedOn w:val="1"/>
    <w:qFormat/>
    <w:uiPriority w:val="0"/>
    <w:pPr>
      <w:adjustRightInd w:val="0"/>
      <w:snapToGrid w:val="0"/>
      <w:spacing w:line="360" w:lineRule="exact"/>
      <w:jc w:val="center"/>
    </w:pPr>
    <w:rPr>
      <w:rFonts w:ascii="TimesNewRomanPSMT" w:hAnsi="TimesNewRomanPSMT" w:cs="宋体"/>
      <w:b/>
      <w:bCs/>
      <w:kern w:val="0"/>
      <w:szCs w:val="21"/>
    </w:rPr>
  </w:style>
  <w:style w:type="paragraph" w:customStyle="1" w:styleId="68">
    <w:name w:val="表格文字"/>
    <w:basedOn w:val="69"/>
    <w:next w:val="1"/>
    <w:qFormat/>
    <w:uiPriority w:val="0"/>
    <w:pPr>
      <w:jc w:val="center"/>
    </w:pPr>
  </w:style>
  <w:style w:type="paragraph" w:customStyle="1" w:styleId="69">
    <w:name w:val="表格编号"/>
    <w:basedOn w:val="1"/>
    <w:next w:val="68"/>
    <w:qFormat/>
    <w:uiPriority w:val="0"/>
    <w:pPr>
      <w:snapToGrid w:val="0"/>
      <w:spacing w:line="20" w:lineRule="atLeast"/>
    </w:pPr>
  </w:style>
  <w:style w:type="paragraph" w:customStyle="1" w:styleId="70">
    <w:name w:val="正文(首行缩进)"/>
    <w:basedOn w:val="1"/>
    <w:semiHidden/>
    <w:qFormat/>
    <w:uiPriority w:val="0"/>
    <w:pPr>
      <w:spacing w:line="360" w:lineRule="auto"/>
      <w:ind w:firstLine="540" w:firstLineChars="225"/>
    </w:pPr>
    <w:rPr>
      <w:snapToGrid w:val="0"/>
      <w:color w:val="000000"/>
      <w:kern w:val="0"/>
      <w:sz w:val="24"/>
    </w:rPr>
  </w:style>
  <w:style w:type="paragraph" w:customStyle="1" w:styleId="71">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72">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73">
    <w:name w:val="正本文字"/>
    <w:basedOn w:val="1"/>
    <w:qFormat/>
    <w:uiPriority w:val="0"/>
    <w:pPr>
      <w:adjustRightInd w:val="0"/>
      <w:snapToGrid w:val="0"/>
      <w:spacing w:line="360" w:lineRule="auto"/>
      <w:ind w:firstLine="200" w:firstLineChars="200"/>
      <w:jc w:val="left"/>
    </w:pPr>
    <w:rPr>
      <w:rFonts w:cs="宋体"/>
      <w:kern w:val="18"/>
      <w:sz w:val="24"/>
      <w:szCs w:val="20"/>
    </w:rPr>
  </w:style>
  <w:style w:type="paragraph" w:customStyle="1" w:styleId="74">
    <w:name w:val="Char Char1 Char Char Char Char Char Char Char Char Char Char Char Char Char Char Char Char Char Char"/>
    <w:basedOn w:val="1"/>
    <w:qFormat/>
    <w:uiPriority w:val="0"/>
    <w:pPr>
      <w:spacing w:line="360" w:lineRule="auto"/>
      <w:ind w:firstLine="200" w:firstLineChars="200"/>
    </w:pPr>
    <w:rPr>
      <w:rFonts w:hAnsi="宋体" w:cs="宋体"/>
      <w:szCs w:val="21"/>
    </w:rPr>
  </w:style>
  <w:style w:type="paragraph" w:customStyle="1" w:styleId="75">
    <w:name w:val="样式 正文缩进正文缩进2正文缩进 Char Char正文缩进 Char Char Char Char正文缩进 Char ..."/>
    <w:basedOn w:val="7"/>
    <w:qFormat/>
    <w:uiPriority w:val="0"/>
    <w:pPr>
      <w:spacing w:line="360" w:lineRule="auto"/>
      <w:ind w:firstLine="200"/>
    </w:pPr>
    <w:rPr>
      <w:rFonts w:cs="宋体"/>
    </w:rPr>
  </w:style>
  <w:style w:type="paragraph" w:customStyle="1" w:styleId="76">
    <w:name w:val="4正文"/>
    <w:basedOn w:val="1"/>
    <w:qFormat/>
    <w:uiPriority w:val="0"/>
    <w:pPr>
      <w:ind w:firstLine="480"/>
    </w:pPr>
  </w:style>
  <w:style w:type="paragraph" w:customStyle="1" w:styleId="77">
    <w:name w:val="表"/>
    <w:basedOn w:val="22"/>
    <w:qFormat/>
    <w:uiPriority w:val="0"/>
    <w:pPr>
      <w:spacing w:line="300" w:lineRule="exact"/>
    </w:pPr>
    <w:rPr>
      <w:rFonts w:ascii="Times New Roman" w:hAnsi="Times New Roman"/>
      <w:b w:val="0"/>
      <w:sz w:val="21"/>
    </w:rPr>
  </w:style>
  <w:style w:type="paragraph" w:customStyle="1" w:styleId="78">
    <w:name w:val="项目正文，无格式"/>
    <w:basedOn w:val="1"/>
    <w:qFormat/>
    <w:uiPriority w:val="0"/>
    <w:pPr>
      <w:jc w:val="center"/>
    </w:pPr>
    <w:rPr>
      <w:szCs w:val="18"/>
    </w:rPr>
  </w:style>
  <w:style w:type="paragraph" w:customStyle="1" w:styleId="79">
    <w:name w:val="样式1"/>
    <w:basedOn w:val="1"/>
    <w:qFormat/>
    <w:uiPriority w:val="0"/>
    <w:pPr>
      <w:spacing w:line="300" w:lineRule="atLeast"/>
      <w:jc w:val="center"/>
      <w:outlineLvl w:val="2"/>
    </w:pPr>
    <w:rPr>
      <w:rFonts w:eastAsia="楷体_GB2312"/>
      <w:szCs w:val="20"/>
    </w:rPr>
  </w:style>
  <w:style w:type="character" w:customStyle="1" w:styleId="80">
    <w:name w:val="font11"/>
    <w:qFormat/>
    <w:uiPriority w:val="0"/>
    <w:rPr>
      <w:rFonts w:hint="default" w:ascii="Times New Roman" w:hAnsi="Times New Roman" w:cs="Times New Roman"/>
      <w:color w:val="000000"/>
      <w:sz w:val="21"/>
      <w:szCs w:val="21"/>
      <w:u w:val="none"/>
    </w:rPr>
  </w:style>
  <w:style w:type="character" w:customStyle="1" w:styleId="81">
    <w:name w:val="font21"/>
    <w:qFormat/>
    <w:uiPriority w:val="0"/>
    <w:rPr>
      <w:rFonts w:hint="eastAsia" w:ascii="宋体" w:hAnsi="宋体" w:eastAsia="宋体" w:cs="宋体"/>
      <w:color w:val="000000"/>
      <w:sz w:val="21"/>
      <w:szCs w:val="21"/>
      <w:u w:val="none"/>
    </w:rPr>
  </w:style>
  <w:style w:type="character" w:customStyle="1" w:styleId="82">
    <w:name w:val="font01"/>
    <w:qFormat/>
    <w:uiPriority w:val="0"/>
    <w:rPr>
      <w:rFonts w:hint="default" w:ascii="Times New Roman" w:hAnsi="Times New Roman" w:cs="Times New Roman"/>
      <w:color w:val="000000"/>
      <w:sz w:val="28"/>
      <w:szCs w:val="28"/>
      <w:u w:val="none"/>
    </w:rPr>
  </w:style>
  <w:style w:type="paragraph" w:styleId="83">
    <w:name w:val="No Spacing"/>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84">
    <w:name w:val="表格3"/>
    <w:qFormat/>
    <w:uiPriority w:val="0"/>
    <w:pPr>
      <w:spacing w:line="240" w:lineRule="atLeast"/>
      <w:jc w:val="center"/>
    </w:pPr>
    <w:rPr>
      <w:rFonts w:ascii="Times New Roman" w:hAnsi="Times New Roman" w:eastAsia="宋体" w:cs="Times New Roman"/>
      <w:kern w:val="2"/>
      <w:sz w:val="21"/>
      <w:szCs w:val="21"/>
      <w:lang w:val="en-US" w:eastAsia="zh-CN" w:bidi="ar-SA"/>
    </w:rPr>
  </w:style>
  <w:style w:type="character" w:customStyle="1" w:styleId="85">
    <w:name w:val="NormalCharacter"/>
    <w:qFormat/>
    <w:uiPriority w:val="0"/>
    <w:rPr>
      <w:kern w:val="2"/>
      <w:sz w:val="21"/>
      <w:szCs w:val="24"/>
      <w:lang w:val="en-US" w:eastAsia="zh-CN" w:bidi="ar-SA"/>
    </w:rPr>
  </w:style>
  <w:style w:type="paragraph" w:customStyle="1" w:styleId="86">
    <w:name w:val="5正文"/>
    <w:basedOn w:val="1"/>
    <w:qFormat/>
    <w:uiPriority w:val="0"/>
    <w:pPr>
      <w:snapToGrid w:val="0"/>
      <w:spacing w:line="360" w:lineRule="auto"/>
      <w:ind w:firstLine="200" w:firstLineChars="200"/>
    </w:pPr>
    <w:rPr>
      <w:sz w:val="24"/>
    </w:rPr>
  </w:style>
  <w:style w:type="character" w:customStyle="1" w:styleId="87">
    <w:name w:val="标题 2 字符"/>
    <w:link w:val="4"/>
    <w:qFormat/>
    <w:uiPriority w:val="0"/>
    <w:rPr>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36</Pages>
  <Words>16707</Words>
  <Characters>18497</Characters>
  <Lines>150</Lines>
  <Paragraphs>42</Paragraphs>
  <TotalTime>6</TotalTime>
  <ScaleCrop>false</ScaleCrop>
  <LinksUpToDate>false</LinksUpToDate>
  <CharactersWithSpaces>18746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Administrator</cp:lastModifiedBy>
  <cp:lastPrinted>2021-06-24T03:46:00Z</cp:lastPrinted>
  <dcterms:modified xsi:type="dcterms:W3CDTF">2022-09-06T08:35:34Z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F69F39F0BAA548B0A4EB3005084A2D82</vt:lpwstr>
  </property>
</Properties>
</file>