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left="2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灞桥区违建墓地专项整治成果巩固提升行动主要任务一览表</w:t>
      </w:r>
    </w:p>
    <w:tbl>
      <w:tblPr>
        <w:tblStyle w:val="3"/>
        <w:tblW w:w="13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220"/>
        <w:gridCol w:w="4710"/>
        <w:gridCol w:w="5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4"/>
                <w:lang w:bidi="ar"/>
              </w:rPr>
              <w:t>目标任务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4"/>
                <w:lang w:bidi="ar"/>
              </w:rPr>
              <w:t>参考文件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仿宋" w:eastAsia="黑体" w:cs="仿宋"/>
                <w:sz w:val="24"/>
              </w:rPr>
            </w:pPr>
            <w:r>
              <w:rPr>
                <w:rFonts w:hint="eastAsia" w:ascii="黑体" w:hAnsi="仿宋" w:eastAsia="黑体" w:cs="仿宋"/>
                <w:color w:val="000000"/>
                <w:kern w:val="0"/>
                <w:sz w:val="24"/>
                <w:lang w:bidi="ar"/>
              </w:rPr>
              <w:t>详细要求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全面检查复核整治公墓建设运营中违法违规行为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民政厅等12部门《全省殡葬领域突出问题专项整治行动工作方案》（陕民发〔2018〕43号）、西安市人民政府办公厅关于印发《西安市殡葬领域突出问题专项整治行动实施方案》的通知（市政办函〔2018〕191号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重点对未经审批擅自兴建、未办理建设用地手续、擅自扩大建设用地面积、违规预售墓位、建售超面积墓位、实施价格欺诈和垄断行为、农村公益性墓地违规对外销售等情形，进行全面检查复核，着力核查已有问题整改情况及是否出现反弹，对未整治、整治不到位的采取有效整改措施，严禁整而不治、治而无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依法检查复核整治违建“住宅式”墓地、硬化大墓、活人墓等行为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陕西省民政厅等13部门《关于开展违法违规私建“住宅式”墓地等突出问题专项摸排的通知》（陕民发〔2019〕18号）、陕西省民政厅等9部门《关于开展违法违规私建“住宅式”墓地专项整治的通知》（陕民函〔2019〕69号）和西安市民政局等11部门《关于开展违法违规私建“住宅式”墓地等突出问题专项摸排的通知》（市民发〔2019〕137号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检查复核违建“住宅式”墓地整治情况，并督促整治不到位的依法整治到位；对已摸排而未纳入整治范围的“公墓和农村公益性墓地以外违法违规私建的硬化大墓和活人墓”开展整治。（对大墓的认定，参照《国务院办公厅转发＜民政部关于进一步加强公墓管理的意见＞的通知》（国办发〔1998〕25号）关于埋葬遗体单人墓占地不超过4平方米、双人合葬墓占地不超过6平方米的上限规定。未石化硬化的土坟不纳入此次整治范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exact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以“零容忍”的态度整治新增问题</w:t>
            </w:r>
          </w:p>
        </w:tc>
        <w:tc>
          <w:tcPr>
            <w:tcW w:w="4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民政部等10部门《关于印发&lt;违建墓地专项整治成果巩固提升行动方案&gt;的通知》（民发〔2020〕94号）、民政厅等10部门《关于印发&lt;违建墓地专项整治成果巩固提升行动实施方案&gt;的通知》（陕民发〔2020〕130号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自2018年开展专项整治行动以来，无论是公墓内还是公墓外出现的新增违建墓地，全部予以拆除，对新的顶风违建行为予以严厉打击、严肃问责、公开曝光，形成威慑效应。对苗头问题强化源头管控，早预防、早发现、早制止，坚决刹住违建墓地反弹甚至蔓延歪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00B9E"/>
    <w:rsid w:val="6770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2020-12-29T08:40:00Z</dcterms:created>
  <dc:creator>Administrator</dc:creator>
  <cp:lastModifiedBy>Administrator</cp:lastModifiedBy>
  <dcterms:modified xsi:type="dcterms:W3CDTF">2020-12-29T08:42:37Z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