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240" w:lineRule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ascii="黑体" w:hAnsi="黑体" w:eastAsia="黑体" w:cs="黑体"/>
          <w:sz w:val="32"/>
          <w:szCs w:val="32"/>
          <w:lang w:eastAsia="zh-CN"/>
        </w:rPr>
        <w:t>1</w:t>
      </w:r>
    </w:p>
    <w:p>
      <w:pPr>
        <w:adjustRightInd w:val="0"/>
        <w:snapToGrid w:val="0"/>
        <w:spacing w:after="0" w:line="240" w:lineRule="auto"/>
        <w:ind w:firstLine="720" w:firstLineChars="200"/>
        <w:jc w:val="center"/>
        <w:rPr>
          <w:rFonts w:ascii="方正小标宋简体" w:hAnsi="仿宋_GB2312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仿宋_GB2312" w:eastAsia="方正小标宋简体" w:cs="方正小标宋简体"/>
          <w:sz w:val="36"/>
          <w:szCs w:val="36"/>
          <w:lang w:eastAsia="zh-CN"/>
        </w:rPr>
        <w:t>灞桥区新能源汽车公共充电基础设施建设目标任务分解表</w:t>
      </w:r>
    </w:p>
    <w:tbl>
      <w:tblPr>
        <w:tblStyle w:val="4"/>
        <w:tblpPr w:leftFromText="180" w:rightFromText="180" w:vertAnchor="text" w:horzAnchor="page" w:tblpX="1087" w:tblpY="572"/>
        <w:tblOverlap w:val="never"/>
        <w:tblW w:w="14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545"/>
        <w:gridCol w:w="750"/>
        <w:gridCol w:w="860"/>
        <w:gridCol w:w="1022"/>
        <w:gridCol w:w="914"/>
        <w:gridCol w:w="832"/>
        <w:gridCol w:w="818"/>
        <w:gridCol w:w="750"/>
        <w:gridCol w:w="709"/>
        <w:gridCol w:w="805"/>
        <w:gridCol w:w="790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64" w:type="dxa"/>
            <w:vMerge w:val="restart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545" w:type="dxa"/>
            <w:vMerge w:val="restart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任务</w:t>
            </w:r>
          </w:p>
        </w:tc>
        <w:tc>
          <w:tcPr>
            <w:tcW w:w="161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充电场站建设目标</w:t>
            </w:r>
          </w:p>
        </w:tc>
        <w:tc>
          <w:tcPr>
            <w:tcW w:w="193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充电桩建设目标</w:t>
            </w:r>
          </w:p>
        </w:tc>
        <w:tc>
          <w:tcPr>
            <w:tcW w:w="4704" w:type="dxa"/>
            <w:gridSpan w:val="6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充电桩年度建设任务分解</w:t>
            </w:r>
          </w:p>
        </w:tc>
        <w:tc>
          <w:tcPr>
            <w:tcW w:w="2522" w:type="dxa"/>
            <w:vMerge w:val="restart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64" w:type="dxa"/>
            <w:vMerge w:val="continue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vMerge w:val="continue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3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522" w:type="dxa"/>
            <w:vMerge w:val="continue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64" w:type="dxa"/>
            <w:vMerge w:val="continue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vMerge w:val="continue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公用</w:t>
            </w:r>
          </w:p>
        </w:tc>
        <w:tc>
          <w:tcPr>
            <w:tcW w:w="86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专用</w:t>
            </w:r>
          </w:p>
        </w:tc>
        <w:tc>
          <w:tcPr>
            <w:tcW w:w="102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公用</w:t>
            </w: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专用</w:t>
            </w:r>
          </w:p>
        </w:tc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公用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专用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公用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专用</w:t>
            </w:r>
          </w:p>
        </w:tc>
        <w:tc>
          <w:tcPr>
            <w:tcW w:w="805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公用</w:t>
            </w: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专用</w:t>
            </w:r>
          </w:p>
        </w:tc>
        <w:tc>
          <w:tcPr>
            <w:tcW w:w="2522" w:type="dxa"/>
            <w:vMerge w:val="continue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4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总任务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86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2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650</w:t>
            </w: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200</w:t>
            </w:r>
          </w:p>
        </w:tc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250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100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250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805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150</w:t>
            </w: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4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after="0" w:line="240" w:lineRule="exact"/>
              <w:jc w:val="both"/>
              <w:rPr>
                <w:rFonts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充分利用现有资源，在城区内采用立体式充电站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塔楼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、停车场加装等模式建设公共充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换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电设施；继续对大型商超、景区、物流园区、地铁站停车场等公共设施进行改造建设充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换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电场站。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86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650</w:t>
            </w: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250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250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805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150</w:t>
            </w: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区住建局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资源规划灞桥分局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_GB2312" w:hAnsi="仿宋_GB2312" w:eastAsia="仿宋_GB2312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4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after="0" w:line="240" w:lineRule="exact"/>
              <w:jc w:val="both"/>
              <w:rPr>
                <w:rFonts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持续推进专用充电基础设施建设，保障邮政、环卫、行政机关等专用车辆的充电需求，确保到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年底车桩比达到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2:1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2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805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区城管局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区机关事务中心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4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45" w:type="dxa"/>
            <w:vAlign w:val="center"/>
          </w:tcPr>
          <w:p>
            <w:pPr>
              <w:adjustRightInd w:val="0"/>
              <w:snapToGrid w:val="0"/>
              <w:spacing w:after="0" w:line="240" w:lineRule="exact"/>
              <w:jc w:val="both"/>
              <w:rPr>
                <w:rFonts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结合“三改一通一落地”工作实际，对有条件、有需求的小区配建一定数量的充电设施，以满足小区业主充电需求。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6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2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150</w:t>
            </w:r>
          </w:p>
        </w:tc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805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252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区住建局</w:t>
            </w:r>
          </w:p>
        </w:tc>
      </w:tr>
    </w:tbl>
    <w:p>
      <w:pPr>
        <w:adjustRightInd w:val="0"/>
        <w:snapToGrid w:val="0"/>
        <w:spacing w:after="0" w:line="240" w:lineRule="auto"/>
        <w:ind w:firstLine="560" w:firstLineChars="200"/>
        <w:jc w:val="center"/>
        <w:rPr>
          <w:rFonts w:ascii="仿宋_GB2312" w:hAnsi="仿宋_GB2312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ascii="仿宋_GB2312" w:hAnsi="仿宋_GB2312" w:eastAsia="仿宋_GB2312" w:cs="仿宋_GB2312"/>
          <w:sz w:val="28"/>
          <w:szCs w:val="28"/>
          <w:lang w:eastAsia="zh-CN"/>
        </w:rPr>
        <w:t>2020-2022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年）</w:t>
      </w:r>
    </w:p>
    <w:p>
      <w:pPr>
        <w:adjustRightInd w:val="0"/>
        <w:snapToGrid w:val="0"/>
        <w:spacing w:after="0" w:line="240" w:lineRule="auto"/>
        <w:rPr>
          <w:rFonts w:ascii="仿宋_GB2312" w:hAnsi="仿宋_GB2312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备注：</w:t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表中充电场站为标准充电场站，每个站建设</w:t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>50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个公共充电基础设施，实际建设时可根据实际情况，以每站不少于</w:t>
      </w:r>
      <w:r>
        <w:rPr>
          <w:rFonts w:ascii="仿宋_GB2312" w:hAnsi="仿宋_GB2312" w:eastAsia="仿宋_GB2312" w:cs="仿宋_GB2312"/>
          <w:sz w:val="24"/>
          <w:szCs w:val="24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个公共充电基础设施进行拆分布局，公共充电基础设施总数量保持不变。</w:t>
      </w:r>
    </w:p>
    <w:p>
      <w:pPr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仿宋_GB2312" w:hAnsi="仿宋_GB2312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各单位年度建设任务，在不影响总任务的情况下，可根据实际情况进行调整。公用充电场站建设直流充电设施，专用充电场站以直流充电设施为主、交流充电设施为辅，实际建设时可根据实际充电需求对比例进行一定调整，公共充电基础设施总数保持不变；</w:t>
      </w:r>
    </w:p>
    <w:p>
      <w:pPr>
        <w:numPr>
          <w:numId w:val="0"/>
        </w:numPr>
        <w:adjustRightInd w:val="0"/>
        <w:snapToGrid w:val="0"/>
        <w:spacing w:after="0" w:line="240" w:lineRule="auto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鼓励各单位提供场地，由西安城投集团负责建设运营及管理。</w:t>
      </w:r>
      <w:bookmarkStart w:id="0" w:name="_GoBack"/>
      <w:bookmarkEnd w:id="0"/>
    </w:p>
    <w:sectPr>
      <w:footerReference r:id="rId3" w:type="default"/>
      <w:pgSz w:w="16838" w:h="11906" w:orient="landscape"/>
      <w:pgMar w:top="1474" w:right="1928" w:bottom="1587" w:left="204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FB86A"/>
    <w:multiLevelType w:val="singleLevel"/>
    <w:tmpl w:val="5F9FB86A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C0E61"/>
    <w:rsid w:val="2FEC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="微软雅黑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link w:val="6"/>
    <w:semiHidden/>
    <w:uiPriority w:val="0"/>
    <w:rPr>
      <w:rFonts w:ascii="Tahoma" w:hAnsi="Tahoma" w:eastAsia="宋体" w:cs="Tahoma"/>
      <w:kern w:val="2"/>
      <w:sz w:val="24"/>
      <w:szCs w:val="24"/>
      <w:lang w:eastAsia="zh-CN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默认段落字体 Para Char Char Char Char Char Char Char"/>
    <w:basedOn w:val="1"/>
    <w:link w:val="5"/>
    <w:uiPriority w:val="99"/>
    <w:pPr>
      <w:widowControl w:val="0"/>
      <w:spacing w:after="0" w:line="240" w:lineRule="auto"/>
      <w:jc w:val="both"/>
    </w:pPr>
    <w:rPr>
      <w:rFonts w:ascii="Tahoma" w:hAnsi="Tahoma" w:eastAsia="宋体" w:cs="Tahoma"/>
      <w:kern w:val="2"/>
      <w:sz w:val="24"/>
      <w:szCs w:val="24"/>
      <w:lang w:eastAsia="zh-CN"/>
    </w:rPr>
  </w:style>
  <w:style w:type="character" w:styleId="7">
    <w:name w:val="page number"/>
    <w:basedOn w:val="5"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2020-12-11T09:08:00Z</dcterms:created>
  <dc:creator>Administrator</dc:creator>
  <cp:lastModifiedBy>Administrator</cp:lastModifiedBy>
  <dcterms:modified xsi:type="dcterms:W3CDTF">2020-12-11T09:10:34Z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