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15219">
      <w:pPr>
        <w:rPr>
          <w:rFonts w:ascii="Times New Roman" w:hAnsi="Times New Roman" w:eastAsia="黑体"/>
          <w:szCs w:val="32"/>
        </w:rPr>
      </w:pPr>
      <w:r>
        <w:rPr>
          <w:rFonts w:ascii="Times New Roman" w:hAnsi="Times New Roman" w:eastAsia="黑体"/>
          <w:szCs w:val="32"/>
        </w:rPr>
        <w:t>附件1</w:t>
      </w:r>
    </w:p>
    <w:p w14:paraId="18630A24">
      <w:pPr>
        <w:spacing w:line="440" w:lineRule="exact"/>
        <w:jc w:val="center"/>
        <w:rPr>
          <w:rFonts w:ascii="Times New Roman" w:hAnsi="Times New Roman"/>
          <w:b/>
          <w:bCs/>
          <w:sz w:val="44"/>
          <w:szCs w:val="44"/>
        </w:rPr>
      </w:pPr>
    </w:p>
    <w:p w14:paraId="3E971E65">
      <w:pPr>
        <w:spacing w:line="640" w:lineRule="exact"/>
        <w:jc w:val="center"/>
        <w:rPr>
          <w:rFonts w:hint="eastAsia" w:ascii="Times New Roman" w:hAnsi="Times New Roman" w:eastAsia="方正小标宋简体"/>
          <w:spacing w:val="30"/>
          <w:sz w:val="44"/>
          <w:szCs w:val="44"/>
          <w:lang w:eastAsia="zh-CN"/>
        </w:rPr>
      </w:pPr>
      <w:r>
        <w:rPr>
          <w:rFonts w:ascii="Times New Roman" w:hAnsi="Times New Roman" w:eastAsia="方正小标宋简体"/>
          <w:spacing w:val="30"/>
          <w:w w:val="90"/>
          <w:sz w:val="44"/>
          <w:szCs w:val="44"/>
        </w:rPr>
        <w:t>西安市灞桥区</w:t>
      </w:r>
      <w:r>
        <w:rPr>
          <w:rFonts w:hint="eastAsia" w:ascii="方正小标宋简体" w:hAnsi="方正小标宋简体" w:eastAsia="方正小标宋简体" w:cs="方正小标宋简体"/>
          <w:w w:val="90"/>
          <w:sz w:val="44"/>
          <w:szCs w:val="44"/>
          <w:lang w:val="en-US" w:eastAsia="zh-CN"/>
        </w:rPr>
        <w:t>人民代表大会常务委员会办公室</w:t>
      </w:r>
      <w:r>
        <w:rPr>
          <w:rFonts w:hint="eastAsia" w:ascii="方正小标宋简体" w:hAnsi="方正小标宋简体" w:eastAsia="方正小标宋简体" w:cs="方正小标宋简体"/>
          <w:sz w:val="44"/>
          <w:szCs w:val="44"/>
        </w:rPr>
        <w:t>2019</w:t>
      </w:r>
      <w:r>
        <w:rPr>
          <w:rFonts w:ascii="Times New Roman" w:hAnsi="Times New Roman" w:eastAsia="方正小标宋简体"/>
          <w:spacing w:val="30"/>
          <w:sz w:val="44"/>
          <w:szCs w:val="44"/>
        </w:rPr>
        <w:t>年度部门决算</w:t>
      </w:r>
      <w:r>
        <w:rPr>
          <w:rFonts w:hint="eastAsia" w:ascii="Times New Roman" w:hAnsi="Times New Roman" w:eastAsia="方正小标宋简体"/>
          <w:spacing w:val="30"/>
          <w:sz w:val="44"/>
          <w:szCs w:val="44"/>
          <w:lang w:val="en-US" w:eastAsia="zh-CN"/>
        </w:rPr>
        <w:t>公开</w:t>
      </w:r>
    </w:p>
    <w:p w14:paraId="3E282EBD">
      <w:pPr>
        <w:spacing w:line="400" w:lineRule="exact"/>
        <w:rPr>
          <w:rFonts w:ascii="Times New Roman" w:hAnsi="Times New Roman"/>
          <w:b/>
          <w:bCs/>
          <w:szCs w:val="32"/>
        </w:rPr>
      </w:pPr>
    </w:p>
    <w:p w14:paraId="04F041AE">
      <w:pPr>
        <w:numPr>
          <w:ilvl w:val="0"/>
          <w:numId w:val="1"/>
        </w:numPr>
        <w:jc w:val="center"/>
        <w:rPr>
          <w:rFonts w:ascii="Times New Roman" w:hAnsi="Times New Roman" w:eastAsia="黑体"/>
          <w:color w:val="000000"/>
          <w:kern w:val="0"/>
          <w:sz w:val="40"/>
          <w:szCs w:val="40"/>
        </w:rPr>
      </w:pPr>
      <w:r>
        <w:rPr>
          <w:rFonts w:ascii="Times New Roman" w:hAnsi="Times New Roman" w:eastAsia="黑体"/>
          <w:color w:val="000000"/>
          <w:kern w:val="0"/>
          <w:sz w:val="40"/>
          <w:szCs w:val="40"/>
        </w:rPr>
        <w:t>部门概况</w:t>
      </w:r>
    </w:p>
    <w:p w14:paraId="0C489EE3">
      <w:pPr>
        <w:widowControl/>
        <w:spacing w:line="576"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一、部门主要职责及内设机构</w:t>
      </w:r>
    </w:p>
    <w:p w14:paraId="683C5631">
      <w:pPr>
        <w:snapToGrid w:val="0"/>
        <w:spacing w:line="560" w:lineRule="exact"/>
        <w:ind w:firstLine="640" w:firstLineChars="200"/>
        <w:rPr>
          <w:rFonts w:ascii="仿宋_GB2312" w:hAnsi="仿宋" w:eastAsia="仿宋_GB2312"/>
        </w:rPr>
      </w:pPr>
      <w:r>
        <w:rPr>
          <w:rFonts w:hint="eastAsia" w:ascii="仿宋_GB2312" w:hAnsi="仿宋" w:eastAsia="仿宋_GB2312"/>
        </w:rPr>
        <w:t>灞桥区</w:t>
      </w:r>
      <w:r>
        <w:rPr>
          <w:rFonts w:hint="eastAsia" w:ascii="仿宋_GB2312" w:hAnsi="仿宋" w:eastAsia="仿宋_GB2312"/>
          <w:lang w:eastAsia="zh-CN"/>
        </w:rPr>
        <w:t>人大常委会机关</w:t>
      </w:r>
      <w:r>
        <w:rPr>
          <w:rFonts w:hint="eastAsia" w:ascii="仿宋_GB2312" w:hAnsi="仿宋" w:eastAsia="仿宋_GB2312"/>
        </w:rPr>
        <w:t>是为区人民代表大会、区人大常委会和区人大常委会主任会议行使职权提供参谋和服务。其主要职责是：（1）负责区人民代表大会的举行及区人大常委会开展的审议、视察、调查、检查、评议、代表联络、人事任免等各项工作的筹备和服务；（2）负责区人大常委会会议、主任会议、党组会议等各种会议的会务工作；负责区人民代表大会及其常务委员会所做出的决议、决定和代表议案、建议、批评、意见及领导重要批示的办理、督促检查、信息反馈；负责上级人大及其常委会制定的有关法律、法规草案的意见征询工作；（3）负责人大工作的信息收集、动态反映及综合调研工作；（4）负责起草区人大常委会及其党组、区人大常委会办公室和区人大年度、季度工作安排、总结等文稿；（5）负责机关文秘、组织人事、机要保密、信访接待等工作；（6）完成区人大领导和上级</w:t>
      </w:r>
      <w:r>
        <w:rPr>
          <w:rFonts w:hint="eastAsia" w:ascii="仿宋_GB2312" w:hAnsi="仿宋" w:eastAsia="仿宋_GB2312"/>
          <w:lang w:eastAsia="zh-CN"/>
        </w:rPr>
        <w:t>人大常委会机关</w:t>
      </w:r>
      <w:r>
        <w:rPr>
          <w:rFonts w:hint="eastAsia" w:ascii="仿宋_GB2312" w:hAnsi="仿宋" w:eastAsia="仿宋_GB2312"/>
        </w:rPr>
        <w:t>交办的其他工作。</w:t>
      </w:r>
    </w:p>
    <w:p w14:paraId="536C14F6">
      <w:pPr>
        <w:widowControl/>
        <w:spacing w:line="576" w:lineRule="exact"/>
        <w:ind w:firstLine="640" w:firstLineChars="200"/>
        <w:rPr>
          <w:rFonts w:ascii="Times New Roman" w:hAnsi="Times New Roman"/>
        </w:rPr>
      </w:pPr>
      <w:r>
        <w:rPr>
          <w:rFonts w:ascii="Times New Roman" w:hAnsi="Times New Roman" w:eastAsia="黑体"/>
          <w:color w:val="000000"/>
          <w:kern w:val="0"/>
          <w:szCs w:val="32"/>
        </w:rPr>
        <w:t>二、部门决算单位构成</w:t>
      </w:r>
    </w:p>
    <w:p w14:paraId="50F21846">
      <w:pPr>
        <w:spacing w:line="560" w:lineRule="exact"/>
        <w:ind w:firstLine="640"/>
        <w:jc w:val="left"/>
        <w:rPr>
          <w:rFonts w:ascii="仿宋_GB2312" w:hAnsi="仿宋" w:eastAsia="仿宋_GB2312" w:cs="仿宋_GB2312"/>
          <w:szCs w:val="32"/>
        </w:rPr>
      </w:pPr>
      <w:r>
        <w:rPr>
          <w:rFonts w:hint="eastAsia" w:ascii="仿宋_GB2312" w:hAnsi="仿宋" w:eastAsia="仿宋_GB2312" w:cs="仿宋_GB2312"/>
          <w:szCs w:val="32"/>
        </w:rPr>
        <w:t>从</w:t>
      </w:r>
      <w:r>
        <w:rPr>
          <w:rFonts w:hint="eastAsia" w:ascii="仿宋_GB2312" w:hAnsi="仿宋" w:eastAsia="仿宋_GB2312"/>
        </w:rPr>
        <w:t>决算单位构成</w:t>
      </w:r>
      <w:r>
        <w:rPr>
          <w:rFonts w:hint="eastAsia" w:ascii="仿宋_GB2312" w:hAnsi="仿宋" w:eastAsia="仿宋_GB2312" w:cs="仿宋_GB2312"/>
          <w:szCs w:val="32"/>
        </w:rPr>
        <w:t>看，</w:t>
      </w:r>
      <w:r>
        <w:rPr>
          <w:rFonts w:hint="eastAsia" w:ascii="仿宋_GB2312" w:hAnsi="仿宋" w:eastAsia="仿宋_GB2312"/>
        </w:rPr>
        <w:t>本部门的部门决算</w:t>
      </w:r>
      <w:r>
        <w:rPr>
          <w:rFonts w:hint="eastAsia" w:ascii="仿宋_GB2312" w:hAnsi="仿宋" w:eastAsia="仿宋_GB2312" w:cs="仿宋_GB2312"/>
          <w:szCs w:val="32"/>
        </w:rPr>
        <w:t>包括西安市灞桥区人民代表大会常务委员会机关决算。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14:paraId="5E75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4A176EAA">
            <w:pPr>
              <w:spacing w:line="560" w:lineRule="exact"/>
              <w:rPr>
                <w:rFonts w:ascii="仿宋_GB2312" w:hAnsi="仿宋" w:eastAsia="仿宋_GB2312" w:cs="仿宋_GB2312"/>
                <w:szCs w:val="32"/>
              </w:rPr>
            </w:pPr>
            <w:r>
              <w:rPr>
                <w:rFonts w:hint="eastAsia" w:ascii="仿宋_GB2312" w:hAnsi="仿宋" w:eastAsia="仿宋_GB2312" w:cs="仿宋_GB2312"/>
                <w:szCs w:val="32"/>
              </w:rPr>
              <w:t>序号</w:t>
            </w:r>
          </w:p>
        </w:tc>
        <w:tc>
          <w:tcPr>
            <w:tcW w:w="6923" w:type="dxa"/>
          </w:tcPr>
          <w:p w14:paraId="4A55B03E">
            <w:pPr>
              <w:spacing w:line="560" w:lineRule="exact"/>
              <w:rPr>
                <w:rFonts w:ascii="仿宋_GB2312" w:hAnsi="仿宋" w:eastAsia="仿宋_GB2312" w:cs="仿宋_GB2312"/>
                <w:szCs w:val="32"/>
              </w:rPr>
            </w:pPr>
            <w:r>
              <w:rPr>
                <w:rFonts w:hint="eastAsia" w:ascii="仿宋_GB2312" w:hAnsi="仿宋" w:eastAsia="仿宋_GB2312" w:cs="仿宋_GB2312"/>
                <w:szCs w:val="32"/>
              </w:rPr>
              <w:t>单位名称</w:t>
            </w:r>
          </w:p>
        </w:tc>
      </w:tr>
      <w:tr w14:paraId="01F5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274D9EBA">
            <w:pPr>
              <w:spacing w:line="560" w:lineRule="exact"/>
              <w:rPr>
                <w:rFonts w:ascii="仿宋_GB2312" w:hAnsi="仿宋" w:eastAsia="仿宋_GB2312" w:cs="仿宋_GB2312"/>
                <w:szCs w:val="32"/>
              </w:rPr>
            </w:pPr>
            <w:r>
              <w:rPr>
                <w:rFonts w:hint="eastAsia" w:ascii="仿宋_GB2312" w:hAnsi="仿宋" w:eastAsia="仿宋_GB2312" w:cs="仿宋_GB2312"/>
                <w:szCs w:val="32"/>
              </w:rPr>
              <w:t>1</w:t>
            </w:r>
          </w:p>
        </w:tc>
        <w:tc>
          <w:tcPr>
            <w:tcW w:w="6923" w:type="dxa"/>
          </w:tcPr>
          <w:p w14:paraId="7F892A9D">
            <w:pPr>
              <w:spacing w:line="560" w:lineRule="exact"/>
              <w:rPr>
                <w:rFonts w:ascii="仿宋_GB2312" w:hAnsi="仿宋" w:eastAsia="仿宋_GB2312" w:cs="仿宋_GB2312"/>
                <w:szCs w:val="32"/>
              </w:rPr>
            </w:pPr>
            <w:r>
              <w:rPr>
                <w:rFonts w:hint="eastAsia" w:ascii="仿宋_GB2312" w:hAnsi="仿宋" w:eastAsia="仿宋_GB2312" w:cs="仿宋_GB2312"/>
                <w:szCs w:val="32"/>
              </w:rPr>
              <w:t>西安市灞桥区人民代表大会常务委员会办公室</w:t>
            </w:r>
          </w:p>
        </w:tc>
      </w:tr>
    </w:tbl>
    <w:p w14:paraId="76E891B6">
      <w:pPr>
        <w:spacing w:line="576" w:lineRule="exact"/>
        <w:ind w:firstLine="640"/>
        <w:rPr>
          <w:rFonts w:ascii="Times New Roman" w:hAnsi="Times New Roman" w:eastAsia="黑体"/>
          <w:szCs w:val="32"/>
        </w:rPr>
      </w:pPr>
      <w:r>
        <w:rPr>
          <w:rFonts w:ascii="Times New Roman" w:hAnsi="Times New Roman" w:eastAsia="黑体"/>
          <w:szCs w:val="32"/>
        </w:rPr>
        <w:t>三、部门人员情况</w:t>
      </w:r>
    </w:p>
    <w:p w14:paraId="3A7F08D3">
      <w:pPr>
        <w:ind w:firstLine="640"/>
        <w:rPr>
          <w:rFonts w:hint="eastAsia" w:ascii="Times New Roman" w:hAnsi="Times New Roman" w:eastAsia="仿宋_GB2312"/>
          <w:szCs w:val="32"/>
        </w:rPr>
      </w:pPr>
      <w:r>
        <w:rPr>
          <w:rFonts w:ascii="Times New Roman" w:hAnsi="Times New Roman" w:eastAsia="仿宋_GB2312"/>
          <w:szCs w:val="32"/>
        </w:rPr>
        <w:t>截止2019年底，本部门人员编制</w:t>
      </w:r>
      <w:r>
        <w:rPr>
          <w:rFonts w:hint="eastAsia" w:ascii="Times New Roman" w:hAnsi="Times New Roman" w:eastAsia="仿宋_GB2312"/>
          <w:szCs w:val="32"/>
        </w:rPr>
        <w:t>23</w:t>
      </w:r>
      <w:r>
        <w:rPr>
          <w:rFonts w:ascii="Times New Roman" w:hAnsi="Times New Roman" w:eastAsia="仿宋_GB2312"/>
          <w:szCs w:val="32"/>
        </w:rPr>
        <w:t>人，其中行政编制</w:t>
      </w:r>
      <w:r>
        <w:rPr>
          <w:rFonts w:hint="eastAsia" w:ascii="Times New Roman" w:hAnsi="Times New Roman" w:eastAsia="仿宋_GB2312"/>
          <w:szCs w:val="32"/>
        </w:rPr>
        <w:t>19</w:t>
      </w:r>
      <w:r>
        <w:rPr>
          <w:rFonts w:ascii="Times New Roman" w:hAnsi="Times New Roman" w:eastAsia="仿宋_GB2312"/>
          <w:szCs w:val="32"/>
        </w:rPr>
        <w:t>人、事业编制</w:t>
      </w:r>
      <w:r>
        <w:rPr>
          <w:rFonts w:hint="eastAsia" w:ascii="Times New Roman" w:hAnsi="Times New Roman" w:eastAsia="仿宋_GB2312"/>
          <w:szCs w:val="32"/>
        </w:rPr>
        <w:t>4</w:t>
      </w:r>
      <w:r>
        <w:rPr>
          <w:rFonts w:ascii="Times New Roman" w:hAnsi="Times New Roman" w:eastAsia="仿宋_GB2312"/>
          <w:szCs w:val="32"/>
        </w:rPr>
        <w:t>人；实有人员</w:t>
      </w:r>
      <w:r>
        <w:rPr>
          <w:rFonts w:hint="eastAsia" w:ascii="Times New Roman" w:hAnsi="Times New Roman" w:eastAsia="仿宋_GB2312"/>
          <w:szCs w:val="32"/>
        </w:rPr>
        <w:t>27</w:t>
      </w:r>
      <w:r>
        <w:rPr>
          <w:rFonts w:ascii="Times New Roman" w:hAnsi="Times New Roman" w:eastAsia="仿宋_GB2312"/>
          <w:szCs w:val="32"/>
        </w:rPr>
        <w:t>人，其中行政</w:t>
      </w:r>
      <w:r>
        <w:rPr>
          <w:rFonts w:hint="eastAsia" w:ascii="Times New Roman" w:hAnsi="Times New Roman" w:eastAsia="仿宋_GB2312"/>
          <w:szCs w:val="32"/>
        </w:rPr>
        <w:t>27</w:t>
      </w:r>
      <w:r>
        <w:rPr>
          <w:rFonts w:ascii="Times New Roman" w:hAnsi="Times New Roman" w:eastAsia="仿宋_GB2312"/>
          <w:szCs w:val="32"/>
        </w:rPr>
        <w:t>人、事业</w:t>
      </w:r>
      <w:r>
        <w:rPr>
          <w:rFonts w:hint="eastAsia" w:ascii="Times New Roman" w:hAnsi="Times New Roman" w:eastAsia="仿宋_GB2312"/>
          <w:szCs w:val="32"/>
        </w:rPr>
        <w:t>0</w:t>
      </w:r>
      <w:r>
        <w:rPr>
          <w:rFonts w:ascii="Times New Roman" w:hAnsi="Times New Roman" w:eastAsia="仿宋_GB2312"/>
          <w:szCs w:val="32"/>
        </w:rPr>
        <w:t>人。</w:t>
      </w:r>
      <w:r>
        <w:rPr>
          <w:rFonts w:hint="eastAsia" w:ascii="仿宋_GB2312" w:hAnsi="仿宋" w:eastAsia="仿宋_GB2312"/>
        </w:rPr>
        <w:t>其中5名人大常委会主任</w:t>
      </w:r>
      <w:r>
        <w:rPr>
          <w:rFonts w:hint="eastAsia" w:ascii="仿宋_GB2312" w:hAnsi="仿宋" w:eastAsia="仿宋_GB2312"/>
          <w:lang w:eastAsia="zh-CN"/>
        </w:rPr>
        <w:t>、</w:t>
      </w:r>
      <w:bookmarkStart w:id="0" w:name="_GoBack"/>
      <w:bookmarkEnd w:id="0"/>
      <w:r>
        <w:rPr>
          <w:rFonts w:hint="eastAsia" w:ascii="仿宋_GB2312" w:hAnsi="仿宋" w:eastAsia="仿宋_GB2312"/>
        </w:rPr>
        <w:t>副主任和3名常委会专职委员编制单列，2名工人编制在机关后勤中心。</w:t>
      </w:r>
      <w:r>
        <w:rPr>
          <w:rFonts w:ascii="Times New Roman" w:hAnsi="Times New Roman" w:eastAsia="仿宋_GB2312"/>
          <w:szCs w:val="32"/>
        </w:rPr>
        <w:t>单位管理的离退休人员</w:t>
      </w:r>
      <w:r>
        <w:rPr>
          <w:rFonts w:hint="eastAsia" w:ascii="Times New Roman" w:hAnsi="Times New Roman" w:eastAsia="仿宋_GB2312"/>
          <w:szCs w:val="32"/>
        </w:rPr>
        <w:t>24</w:t>
      </w:r>
      <w:r>
        <w:rPr>
          <w:rFonts w:ascii="Times New Roman" w:hAnsi="Times New Roman" w:eastAsia="仿宋_GB2312"/>
          <w:szCs w:val="32"/>
        </w:rPr>
        <w:t>人。</w:t>
      </w:r>
    </w:p>
    <w:p w14:paraId="33707413">
      <w:pPr>
        <w:ind w:firstLine="640"/>
        <w:rPr>
          <w:rFonts w:hint="eastAsia" w:ascii="Times New Roman" w:hAnsi="Times New Roman" w:eastAsia="仿宋_GB2312"/>
          <w:szCs w:val="32"/>
        </w:rPr>
      </w:pPr>
      <w:r>
        <w:rPr>
          <w:rFonts w:ascii="Times New Roman" w:hAnsi="Times New Roman" w:eastAsia="仿宋_GB2312"/>
          <w:szCs w:val="32"/>
        </w:rPr>
        <w:drawing>
          <wp:inline distT="0" distB="0" distL="0" distR="0">
            <wp:extent cx="2438400" cy="1895475"/>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eastAsia" w:ascii="Times New Roman" w:hAnsi="Times New Roman" w:eastAsia="仿宋_GB2312"/>
          <w:szCs w:val="32"/>
        </w:rPr>
        <w:t xml:space="preserve">    </w:t>
      </w:r>
    </w:p>
    <w:p w14:paraId="3FDB3D18">
      <w:pPr>
        <w:ind w:firstLine="1440" w:firstLineChars="450"/>
        <w:rPr>
          <w:rFonts w:ascii="Times New Roman" w:hAnsi="Times New Roman" w:eastAsia="仿宋_GB2312"/>
          <w:szCs w:val="32"/>
        </w:rPr>
      </w:pPr>
      <w:r>
        <w:rPr>
          <w:rFonts w:hint="eastAsia" w:ascii="Times New Roman" w:hAnsi="Times New Roman" w:eastAsia="仿宋_GB2312"/>
          <w:szCs w:val="32"/>
        </w:rPr>
        <w:t>在职人员数量</w:t>
      </w:r>
    </w:p>
    <w:p w14:paraId="6985988F">
      <w:pPr>
        <w:ind w:firstLine="643" w:firstLineChars="200"/>
        <w:rPr>
          <w:rFonts w:ascii="Times New Roman" w:hAnsi="Times New Roman" w:eastAsia="仿宋_GB2312"/>
          <w:b/>
          <w:bCs/>
        </w:rPr>
      </w:pPr>
      <w:r>
        <w:rPr>
          <w:rFonts w:ascii="Times New Roman" w:hAnsi="Times New Roman" w:eastAsia="仿宋_GB2312"/>
          <w:b/>
          <w:bCs/>
        </w:rPr>
        <w:t>四、2019年度部门工作完成情况</w:t>
      </w:r>
    </w:p>
    <w:p w14:paraId="3A562198">
      <w:pPr>
        <w:spacing w:line="560" w:lineRule="exact"/>
        <w:ind w:firstLine="640" w:firstLineChars="200"/>
        <w:rPr>
          <w:rFonts w:ascii="仿宋_GB2312" w:eastAsia="仿宋_GB2312"/>
          <w:szCs w:val="32"/>
        </w:rPr>
      </w:pPr>
      <w:r>
        <w:rPr>
          <w:rFonts w:hint="eastAsia" w:ascii="仿宋_GB2312" w:eastAsia="仿宋_GB2312"/>
          <w:szCs w:val="32"/>
        </w:rPr>
        <w:t>2019年是新中国成立70周年，也是决胜全面建成小康社会的第一个百年目标的关键之年。一年来，区人大常委会机关深入学习贯彻习近平新时代中国特色社会主义思想和党的十九大、十九届二中、三中、四中全会精神，特别是习近平总书记关于坚持和完善人民代表大会制度的重要思想，坚持立足新时代人大工作定位和特点，始终坚持党的领导、人民当家作主、依法治国有机统一，积极完成常委会的各项工作任务，为推动全区追赶超越和民主法治建设作出了应有贡献。一年来，召开十七届人大常委会会议6次、主任会议13次，听取审议各类报告27项，组织视察、调研、执法检查活动128人次，形成调研报告69篇，圆满</w:t>
      </w:r>
      <w:r>
        <w:rPr>
          <w:rFonts w:ascii="仿宋_GB2312" w:eastAsia="仿宋_GB2312"/>
          <w:szCs w:val="32"/>
        </w:rPr>
        <w:t>完成了</w:t>
      </w:r>
      <w:r>
        <w:rPr>
          <w:rFonts w:hint="eastAsia" w:ascii="仿宋_GB2312" w:eastAsia="仿宋_GB2312"/>
          <w:szCs w:val="32"/>
        </w:rPr>
        <w:t>区十七</w:t>
      </w:r>
      <w:r>
        <w:rPr>
          <w:rFonts w:ascii="仿宋_GB2312" w:eastAsia="仿宋_GB2312"/>
          <w:szCs w:val="32"/>
        </w:rPr>
        <w:t>届人大</w:t>
      </w:r>
      <w:r>
        <w:rPr>
          <w:rFonts w:hint="eastAsia" w:ascii="仿宋_GB2312" w:eastAsia="仿宋_GB2312"/>
          <w:szCs w:val="32"/>
        </w:rPr>
        <w:t>四</w:t>
      </w:r>
      <w:r>
        <w:rPr>
          <w:rFonts w:ascii="仿宋_GB2312" w:eastAsia="仿宋_GB2312"/>
          <w:szCs w:val="32"/>
        </w:rPr>
        <w:t>次会议确定的各项任务</w:t>
      </w:r>
      <w:r>
        <w:rPr>
          <w:rFonts w:hint="eastAsia" w:ascii="仿宋_GB2312" w:eastAsia="仿宋_GB2312"/>
          <w:szCs w:val="32"/>
        </w:rPr>
        <w:t>。</w:t>
      </w:r>
    </w:p>
    <w:p w14:paraId="2FDB88C3">
      <w:pPr>
        <w:widowControl/>
        <w:spacing w:line="576" w:lineRule="exact"/>
        <w:rPr>
          <w:rFonts w:ascii="仿宋_GB2312" w:eastAsia="仿宋_GB2312"/>
          <w:szCs w:val="32"/>
        </w:rPr>
      </w:pPr>
      <w:r>
        <w:rPr>
          <w:rFonts w:ascii="仿宋_GB2312" w:eastAsia="仿宋_GB2312"/>
          <w:szCs w:val="32"/>
        </w:rPr>
        <w:br w:type="page"/>
      </w:r>
    </w:p>
    <w:p w14:paraId="025172A4">
      <w:pPr>
        <w:spacing w:line="576" w:lineRule="exact"/>
        <w:jc w:val="center"/>
        <w:rPr>
          <w:rFonts w:ascii="Times New Roman" w:hAnsi="Times New Roman" w:eastAsia="黑体"/>
          <w:color w:val="000000"/>
          <w:kern w:val="0"/>
          <w:sz w:val="40"/>
          <w:szCs w:val="40"/>
        </w:rPr>
      </w:pPr>
      <w:r>
        <w:rPr>
          <w:rFonts w:ascii="Times New Roman" w:hAnsi="Times New Roman" w:eastAsia="黑体"/>
          <w:color w:val="000000"/>
          <w:kern w:val="0"/>
          <w:sz w:val="40"/>
          <w:szCs w:val="40"/>
        </w:rPr>
        <w:t>第二部分 2019年度部门决算情况说明</w:t>
      </w:r>
    </w:p>
    <w:p w14:paraId="68F4D79F">
      <w:pPr>
        <w:widowControl/>
        <w:spacing w:line="576"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一、收入支出决算总体情况说明</w:t>
      </w:r>
    </w:p>
    <w:p w14:paraId="23A475B4">
      <w:pPr>
        <w:widowControl/>
        <w:spacing w:line="576" w:lineRule="exact"/>
        <w:ind w:firstLine="640" w:firstLineChars="200"/>
        <w:rPr>
          <w:rFonts w:ascii="Times New Roman" w:hAnsi="Times New Roman" w:eastAsia="黑体"/>
          <w:color w:val="000000"/>
          <w:kern w:val="0"/>
          <w:szCs w:val="32"/>
        </w:rPr>
      </w:pPr>
      <w:r>
        <w:rPr>
          <w:rFonts w:ascii="Times New Roman" w:hAnsi="Times New Roman" w:eastAsia="仿宋_GB2312"/>
          <w:szCs w:val="32"/>
        </w:rPr>
        <w:t>2019年度</w:t>
      </w:r>
      <w:r>
        <w:rPr>
          <w:rFonts w:hint="eastAsia" w:ascii="仿宋" w:hAnsi="仿宋" w:eastAsia="仿宋"/>
        </w:rPr>
        <w:t>年度收入共计917.19万元，</w:t>
      </w:r>
      <w:r>
        <w:rPr>
          <w:rFonts w:ascii="Times New Roman" w:hAnsi="Times New Roman" w:eastAsia="仿宋_GB2312"/>
          <w:szCs w:val="32"/>
        </w:rPr>
        <w:t>收入总体情况及比上年增长</w:t>
      </w:r>
      <w:r>
        <w:rPr>
          <w:rFonts w:hint="eastAsia" w:ascii="Times New Roman" w:hAnsi="Times New Roman" w:eastAsia="仿宋_GB2312"/>
          <w:szCs w:val="32"/>
        </w:rPr>
        <w:t xml:space="preserve">198.22万元，增长率27.57% </w:t>
      </w:r>
      <w:r>
        <w:rPr>
          <w:rFonts w:ascii="Times New Roman" w:hAnsi="Times New Roman" w:eastAsia="仿宋_GB2312"/>
          <w:szCs w:val="32"/>
        </w:rPr>
        <w:t>，主要原因</w:t>
      </w:r>
      <w:r>
        <w:rPr>
          <w:rFonts w:hint="eastAsia" w:ascii="Times New Roman" w:hAnsi="Times New Roman" w:eastAsia="仿宋_GB2312"/>
          <w:szCs w:val="32"/>
        </w:rPr>
        <w:t>是人大代表培训考察支出及人员经费支出</w:t>
      </w:r>
      <w:r>
        <w:rPr>
          <w:rFonts w:ascii="Times New Roman" w:hAnsi="Times New Roman" w:eastAsia="仿宋_GB2312"/>
          <w:szCs w:val="32"/>
        </w:rPr>
        <w:t>。</w:t>
      </w:r>
    </w:p>
    <w:p w14:paraId="57294821">
      <w:pPr>
        <w:widowControl/>
        <w:spacing w:line="580" w:lineRule="exact"/>
        <w:ind w:firstLine="640" w:firstLineChars="200"/>
        <w:rPr>
          <w:rFonts w:hint="eastAsia" w:ascii="Times New Roman" w:hAnsi="Times New Roman" w:eastAsia="仿宋_GB2312"/>
          <w:szCs w:val="32"/>
        </w:rPr>
      </w:pPr>
      <w:r>
        <w:rPr>
          <w:rFonts w:ascii="Times New Roman" w:hAnsi="Times New Roman" w:eastAsia="仿宋_GB2312"/>
          <w:szCs w:val="32"/>
        </w:rPr>
        <w:t>2019度年支出总体情况及比上年增长</w:t>
      </w:r>
      <w:r>
        <w:rPr>
          <w:rFonts w:hint="eastAsia" w:ascii="Times New Roman" w:hAnsi="Times New Roman" w:eastAsia="仿宋_GB2312"/>
          <w:szCs w:val="32"/>
        </w:rPr>
        <w:t>198.22万元，增长率27.57%</w:t>
      </w:r>
      <w:r>
        <w:rPr>
          <w:rFonts w:ascii="Times New Roman" w:hAnsi="Times New Roman" w:eastAsia="仿宋_GB2312"/>
          <w:szCs w:val="32"/>
        </w:rPr>
        <w:t>，主要原因</w:t>
      </w:r>
      <w:r>
        <w:rPr>
          <w:rFonts w:hint="eastAsia" w:ascii="Times New Roman" w:hAnsi="Times New Roman" w:eastAsia="仿宋_GB2312"/>
          <w:szCs w:val="32"/>
        </w:rPr>
        <w:t>是人大代表培训考察支出及人员经费支出</w:t>
      </w:r>
      <w:r>
        <w:rPr>
          <w:rFonts w:ascii="Times New Roman" w:hAnsi="Times New Roman" w:eastAsia="仿宋_GB2312"/>
          <w:szCs w:val="32"/>
        </w:rPr>
        <w:t>。</w:t>
      </w:r>
    </w:p>
    <w:p w14:paraId="1A4CB163">
      <w:pPr>
        <w:widowControl/>
        <w:ind w:firstLine="640" w:firstLineChars="200"/>
        <w:jc w:val="center"/>
        <w:rPr>
          <w:rFonts w:hint="eastAsia" w:ascii="Times New Roman" w:hAnsi="Times New Roman" w:eastAsia="仿宋_GB2312"/>
          <w:szCs w:val="32"/>
        </w:rPr>
      </w:pPr>
      <w:r>
        <w:rPr>
          <w:rFonts w:ascii="Times New Roman" w:hAnsi="Times New Roman" w:eastAsia="仿宋_GB2312"/>
          <w:szCs w:val="32"/>
        </w:rPr>
        <w:drawing>
          <wp:inline distT="0" distB="0" distL="0" distR="0">
            <wp:extent cx="4398010" cy="168592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D32C41">
      <w:pPr>
        <w:widowControl/>
        <w:ind w:firstLine="1440" w:firstLineChars="600"/>
        <w:jc w:val="center"/>
        <w:rPr>
          <w:rFonts w:hint="eastAsia" w:ascii="楷体_GB2312" w:hAnsi="华文中宋" w:eastAsia="楷体_GB2312"/>
          <w:sz w:val="24"/>
          <w:szCs w:val="24"/>
        </w:rPr>
      </w:pPr>
      <w:r>
        <w:rPr>
          <w:rFonts w:hint="eastAsia" w:ascii="楷体_GB2312" w:hAnsi="华文中宋" w:eastAsia="楷体_GB2312"/>
          <w:sz w:val="24"/>
          <w:szCs w:val="24"/>
        </w:rPr>
        <w:t>区人大收入支出决算变化情况</w:t>
      </w:r>
    </w:p>
    <w:p w14:paraId="66D15EA2">
      <w:pPr>
        <w:widowControl/>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二、收入决算情况说明</w:t>
      </w:r>
    </w:p>
    <w:p w14:paraId="1D122692">
      <w:pPr>
        <w:widowControl/>
        <w:ind w:firstLine="640" w:firstLineChars="200"/>
        <w:rPr>
          <w:rFonts w:hint="eastAsia" w:ascii="Times New Roman" w:hAnsi="Times New Roman" w:eastAsia="仿宋_GB2312"/>
          <w:color w:val="000000"/>
          <w:kern w:val="0"/>
          <w:szCs w:val="32"/>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ascii="Times New Roman" w:hAnsi="Times New Roman" w:eastAsia="仿宋_GB2312"/>
          <w:color w:val="000000"/>
          <w:kern w:val="0"/>
          <w:szCs w:val="32"/>
        </w:rPr>
        <w:t>收入合计</w:t>
      </w:r>
      <w:r>
        <w:rPr>
          <w:rFonts w:hint="eastAsia" w:ascii="Times New Roman" w:hAnsi="Times New Roman" w:eastAsia="仿宋_GB2312"/>
          <w:color w:val="000000"/>
          <w:kern w:val="0"/>
          <w:szCs w:val="32"/>
        </w:rPr>
        <w:t>917.19</w:t>
      </w:r>
      <w:r>
        <w:rPr>
          <w:rFonts w:ascii="Times New Roman" w:hAnsi="Times New Roman" w:eastAsia="仿宋_GB2312"/>
          <w:color w:val="000000"/>
          <w:kern w:val="0"/>
          <w:szCs w:val="32"/>
        </w:rPr>
        <w:t>万元，其中：财政拨款收入</w:t>
      </w:r>
      <w:r>
        <w:rPr>
          <w:rFonts w:hint="eastAsia" w:ascii="Times New Roman" w:hAnsi="Times New Roman" w:eastAsia="仿宋_GB2312"/>
          <w:color w:val="000000"/>
          <w:kern w:val="0"/>
          <w:szCs w:val="32"/>
        </w:rPr>
        <w:t>917.19</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100</w:t>
      </w:r>
      <w:r>
        <w:rPr>
          <w:rFonts w:ascii="Times New Roman" w:hAnsi="Times New Roman" w:eastAsia="仿宋_GB2312"/>
          <w:color w:val="000000"/>
          <w:kern w:val="0"/>
          <w:szCs w:val="32"/>
        </w:rPr>
        <w:t>%；事业收入</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%；经营收入</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%；其他收入</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w:t>
      </w:r>
    </w:p>
    <w:p w14:paraId="76316B86">
      <w:pPr>
        <w:widowControl/>
        <w:ind w:firstLine="640" w:firstLineChars="200"/>
        <w:jc w:val="center"/>
        <w:rPr>
          <w:rFonts w:ascii="Times New Roman" w:hAnsi="Times New Roman"/>
        </w:rPr>
      </w:pPr>
      <w:r>
        <w:rPr>
          <w:rFonts w:ascii="Times New Roman" w:hAnsi="Times New Roman"/>
        </w:rPr>
        <w:drawing>
          <wp:inline distT="0" distB="0" distL="0" distR="0">
            <wp:extent cx="3857625" cy="2105025"/>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4109A4">
      <w:pPr>
        <w:widowControl/>
        <w:ind w:firstLine="1440" w:firstLineChars="600"/>
        <w:jc w:val="center"/>
        <w:rPr>
          <w:rFonts w:hint="eastAsia" w:ascii="楷体_GB2312" w:hAnsi="华文中宋" w:eastAsia="楷体_GB2312"/>
          <w:sz w:val="24"/>
          <w:szCs w:val="24"/>
        </w:rPr>
      </w:pPr>
      <w:r>
        <w:rPr>
          <w:rFonts w:hint="eastAsia" w:ascii="楷体_GB2312" w:hAnsi="华文中宋" w:eastAsia="楷体_GB2312"/>
          <w:sz w:val="24"/>
          <w:szCs w:val="24"/>
        </w:rPr>
        <w:t>2019年区人大</w:t>
      </w:r>
      <w:r>
        <w:rPr>
          <w:rFonts w:ascii="楷体_GB2312" w:hAnsi="华文中宋" w:eastAsia="楷体_GB2312"/>
          <w:sz w:val="24"/>
          <w:szCs w:val="24"/>
        </w:rPr>
        <w:t>收入</w:t>
      </w:r>
      <w:r>
        <w:rPr>
          <w:rFonts w:hint="eastAsia" w:ascii="楷体_GB2312" w:hAnsi="华文中宋" w:eastAsia="楷体_GB2312"/>
          <w:sz w:val="24"/>
          <w:szCs w:val="24"/>
        </w:rPr>
        <w:t>情况</w:t>
      </w:r>
    </w:p>
    <w:p w14:paraId="5AE81EA3">
      <w:pPr>
        <w:widowControl/>
        <w:ind w:firstLine="640" w:firstLineChars="200"/>
        <w:rPr>
          <w:rFonts w:ascii="Times New Roman" w:hAnsi="Times New Roman" w:eastAsia="黑体"/>
        </w:rPr>
      </w:pPr>
      <w:r>
        <w:rPr>
          <w:rFonts w:ascii="Times New Roman" w:hAnsi="Times New Roman" w:eastAsia="黑体"/>
          <w:color w:val="000000"/>
          <w:kern w:val="0"/>
          <w:szCs w:val="32"/>
        </w:rPr>
        <w:t>三、支出决算情况说明</w:t>
      </w:r>
    </w:p>
    <w:p w14:paraId="20B11341">
      <w:pPr>
        <w:widowControl/>
        <w:ind w:firstLine="640" w:firstLineChars="200"/>
        <w:rPr>
          <w:rFonts w:hint="eastAsia" w:ascii="Times New Roman" w:hAnsi="Times New Roman" w:eastAsia="仿宋_GB2312"/>
          <w:color w:val="000000"/>
          <w:kern w:val="0"/>
          <w:szCs w:val="32"/>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ascii="Times New Roman" w:hAnsi="Times New Roman" w:eastAsia="仿宋_GB2312"/>
          <w:color w:val="000000"/>
          <w:kern w:val="0"/>
          <w:szCs w:val="32"/>
        </w:rPr>
        <w:t>支出合计</w:t>
      </w:r>
      <w:r>
        <w:rPr>
          <w:rFonts w:hint="eastAsia" w:ascii="Times New Roman" w:hAnsi="Times New Roman" w:eastAsia="仿宋_GB2312"/>
          <w:color w:val="000000"/>
          <w:kern w:val="0"/>
          <w:szCs w:val="32"/>
        </w:rPr>
        <w:t>917.19</w:t>
      </w:r>
      <w:r>
        <w:rPr>
          <w:rFonts w:ascii="Times New Roman" w:hAnsi="Times New Roman" w:eastAsia="仿宋_GB2312"/>
          <w:color w:val="000000"/>
          <w:kern w:val="0"/>
          <w:szCs w:val="32"/>
        </w:rPr>
        <w:t>万元，其中：基本支出</w:t>
      </w:r>
      <w:r>
        <w:rPr>
          <w:rFonts w:hint="eastAsia" w:ascii="Times New Roman" w:hAnsi="Times New Roman" w:eastAsia="仿宋_GB2312"/>
          <w:color w:val="000000"/>
          <w:kern w:val="0"/>
          <w:szCs w:val="32"/>
        </w:rPr>
        <w:t>795.1</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86.7</w:t>
      </w:r>
      <w:r>
        <w:rPr>
          <w:rFonts w:ascii="Times New Roman" w:hAnsi="Times New Roman" w:eastAsia="仿宋_GB2312"/>
          <w:color w:val="000000"/>
          <w:kern w:val="0"/>
          <w:szCs w:val="32"/>
        </w:rPr>
        <w:t>%；项目支出</w:t>
      </w:r>
      <w:r>
        <w:rPr>
          <w:rFonts w:hint="eastAsia" w:ascii="Times New Roman" w:hAnsi="Times New Roman" w:eastAsia="仿宋_GB2312"/>
          <w:color w:val="000000"/>
          <w:kern w:val="0"/>
          <w:szCs w:val="32"/>
        </w:rPr>
        <w:t>122.09</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13.3</w:t>
      </w:r>
      <w:r>
        <w:rPr>
          <w:rFonts w:ascii="Times New Roman" w:hAnsi="Times New Roman" w:eastAsia="仿宋_GB2312"/>
          <w:color w:val="000000"/>
          <w:kern w:val="0"/>
          <w:szCs w:val="32"/>
        </w:rPr>
        <w:t>%；</w:t>
      </w:r>
      <w:r>
        <w:rPr>
          <w:rFonts w:hint="eastAsia" w:ascii="Times New Roman" w:hAnsi="Times New Roman" w:eastAsia="仿宋_GB2312"/>
          <w:color w:val="000000"/>
          <w:kern w:val="0"/>
          <w:szCs w:val="32"/>
        </w:rPr>
        <w:t>不涉及经营收入等其他收入</w:t>
      </w:r>
      <w:r>
        <w:rPr>
          <w:rFonts w:ascii="Times New Roman" w:hAnsi="Times New Roman" w:eastAsia="仿宋_GB2312"/>
          <w:color w:val="000000"/>
          <w:kern w:val="0"/>
          <w:szCs w:val="32"/>
        </w:rPr>
        <w:t>。</w:t>
      </w:r>
    </w:p>
    <w:p w14:paraId="3ECBE639">
      <w:pPr>
        <w:widowControl/>
        <w:ind w:firstLine="640" w:firstLineChars="200"/>
        <w:jc w:val="center"/>
        <w:rPr>
          <w:rFonts w:hint="eastAsia" w:ascii="Times New Roman" w:hAnsi="Times New Roman"/>
        </w:rPr>
      </w:pPr>
      <w:r>
        <w:rPr>
          <w:rFonts w:ascii="Times New Roman" w:hAnsi="Times New Roman"/>
        </w:rPr>
        <w:drawing>
          <wp:inline distT="0" distB="0" distL="0" distR="0">
            <wp:extent cx="2876550" cy="161925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DABCDD">
      <w:pPr>
        <w:widowControl/>
        <w:ind w:firstLine="480" w:firstLineChars="200"/>
        <w:jc w:val="center"/>
        <w:rPr>
          <w:rFonts w:hint="eastAsia" w:ascii="楷体_GB2312" w:hAnsi="Times New Roman" w:eastAsia="楷体_GB2312"/>
          <w:sz w:val="24"/>
          <w:szCs w:val="24"/>
        </w:rPr>
      </w:pPr>
      <w:r>
        <w:rPr>
          <w:rFonts w:hint="eastAsia" w:ascii="楷体_GB2312" w:hAnsi="Times New Roman" w:eastAsia="楷体_GB2312"/>
          <w:color w:val="000000"/>
          <w:kern w:val="0"/>
          <w:sz w:val="24"/>
          <w:szCs w:val="24"/>
        </w:rPr>
        <w:t>2019年支出情况</w:t>
      </w:r>
    </w:p>
    <w:p w14:paraId="3B2EA515">
      <w:pPr>
        <w:widowControl/>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四、财政拨款收入支出决算总体情况说明</w:t>
      </w:r>
    </w:p>
    <w:p w14:paraId="230297BA">
      <w:pPr>
        <w:widowControl/>
        <w:spacing w:line="576" w:lineRule="exact"/>
        <w:ind w:firstLine="640" w:firstLineChars="200"/>
        <w:rPr>
          <w:rFonts w:ascii="Times New Roman" w:hAnsi="Times New Roman" w:eastAsia="仿宋_GB2312"/>
          <w:szCs w:val="32"/>
        </w:rPr>
      </w:pPr>
      <w:r>
        <w:rPr>
          <w:rFonts w:ascii="Times New Roman" w:hAnsi="Times New Roman" w:eastAsia="仿宋_GB2312"/>
          <w:szCs w:val="32"/>
        </w:rPr>
        <w:t>2019年度</w:t>
      </w:r>
      <w:r>
        <w:rPr>
          <w:rFonts w:ascii="Times New Roman" w:hAnsi="Times New Roman" w:eastAsia="仿宋_GB2312"/>
          <w:color w:val="000000"/>
          <w:kern w:val="0"/>
          <w:szCs w:val="32"/>
        </w:rPr>
        <w:t>财政拨款</w:t>
      </w:r>
      <w:r>
        <w:rPr>
          <w:rFonts w:ascii="Times New Roman" w:hAnsi="Times New Roman" w:eastAsia="仿宋_GB2312"/>
          <w:szCs w:val="32"/>
        </w:rPr>
        <w:t>收入总体情况比上年增长</w:t>
      </w:r>
      <w:r>
        <w:rPr>
          <w:rFonts w:hint="eastAsia" w:ascii="Times New Roman" w:hAnsi="Times New Roman" w:eastAsia="仿宋_GB2312"/>
          <w:szCs w:val="32"/>
        </w:rPr>
        <w:t>198.22万元</w:t>
      </w:r>
      <w:r>
        <w:rPr>
          <w:rFonts w:ascii="Times New Roman" w:hAnsi="Times New Roman" w:eastAsia="仿宋_GB2312"/>
          <w:szCs w:val="32"/>
        </w:rPr>
        <w:t>，</w:t>
      </w:r>
      <w:r>
        <w:rPr>
          <w:rFonts w:hint="eastAsia" w:ascii="Times New Roman" w:hAnsi="Times New Roman" w:eastAsia="仿宋_GB2312"/>
          <w:szCs w:val="32"/>
        </w:rPr>
        <w:t xml:space="preserve">增长率27.57% </w:t>
      </w:r>
      <w:r>
        <w:rPr>
          <w:rFonts w:ascii="Times New Roman" w:hAnsi="Times New Roman" w:eastAsia="仿宋_GB2312"/>
          <w:szCs w:val="32"/>
        </w:rPr>
        <w:t>，主要原因</w:t>
      </w:r>
      <w:r>
        <w:rPr>
          <w:rFonts w:hint="eastAsia" w:ascii="Times New Roman" w:hAnsi="Times New Roman" w:eastAsia="仿宋_GB2312"/>
          <w:szCs w:val="32"/>
        </w:rPr>
        <w:t>是人大代表培训考察支出及人员经费支出</w:t>
      </w:r>
      <w:r>
        <w:rPr>
          <w:rFonts w:ascii="Times New Roman" w:hAnsi="Times New Roman" w:eastAsia="仿宋_GB2312"/>
          <w:szCs w:val="32"/>
        </w:rPr>
        <w:t>。</w:t>
      </w:r>
    </w:p>
    <w:p w14:paraId="5F3C5F35">
      <w:pPr>
        <w:widowControl/>
        <w:ind w:firstLine="640" w:firstLineChars="200"/>
        <w:rPr>
          <w:rFonts w:hint="eastAsia" w:ascii="Times New Roman" w:hAnsi="Times New Roman" w:eastAsia="仿宋_GB2312"/>
          <w:szCs w:val="32"/>
        </w:rPr>
      </w:pPr>
      <w:r>
        <w:rPr>
          <w:rFonts w:ascii="Times New Roman" w:hAnsi="Times New Roman" w:eastAsia="仿宋_GB2312"/>
          <w:szCs w:val="32"/>
        </w:rPr>
        <w:t>2019年度</w:t>
      </w:r>
      <w:r>
        <w:rPr>
          <w:rFonts w:ascii="Times New Roman" w:hAnsi="Times New Roman" w:eastAsia="仿宋_GB2312"/>
          <w:color w:val="000000"/>
          <w:kern w:val="0"/>
          <w:szCs w:val="32"/>
        </w:rPr>
        <w:t>财政拨款</w:t>
      </w:r>
      <w:r>
        <w:rPr>
          <w:rFonts w:ascii="Times New Roman" w:hAnsi="Times New Roman" w:eastAsia="仿宋_GB2312"/>
          <w:szCs w:val="32"/>
        </w:rPr>
        <w:t>支出总体情况比上年增长</w:t>
      </w:r>
      <w:r>
        <w:rPr>
          <w:rFonts w:hint="eastAsia" w:ascii="Times New Roman" w:hAnsi="Times New Roman" w:eastAsia="仿宋_GB2312"/>
          <w:szCs w:val="32"/>
        </w:rPr>
        <w:t>198.22万元</w:t>
      </w:r>
      <w:r>
        <w:rPr>
          <w:rFonts w:ascii="Times New Roman" w:hAnsi="Times New Roman" w:eastAsia="仿宋_GB2312"/>
          <w:szCs w:val="32"/>
        </w:rPr>
        <w:t>，</w:t>
      </w:r>
      <w:r>
        <w:rPr>
          <w:rFonts w:hint="eastAsia" w:ascii="Times New Roman" w:hAnsi="Times New Roman" w:eastAsia="仿宋_GB2312"/>
          <w:szCs w:val="32"/>
        </w:rPr>
        <w:t xml:space="preserve">增长率27.57% </w:t>
      </w:r>
      <w:r>
        <w:rPr>
          <w:rFonts w:ascii="Times New Roman" w:hAnsi="Times New Roman" w:eastAsia="仿宋_GB2312"/>
          <w:szCs w:val="32"/>
        </w:rPr>
        <w:t>，主要原因</w:t>
      </w:r>
      <w:r>
        <w:rPr>
          <w:rFonts w:hint="eastAsia" w:ascii="Times New Roman" w:hAnsi="Times New Roman" w:eastAsia="仿宋_GB2312"/>
          <w:szCs w:val="32"/>
        </w:rPr>
        <w:t>是人大代表培训考察支出及人员经费支出</w:t>
      </w:r>
      <w:r>
        <w:rPr>
          <w:rFonts w:ascii="Times New Roman" w:hAnsi="Times New Roman" w:eastAsia="仿宋_GB2312"/>
          <w:szCs w:val="32"/>
        </w:rPr>
        <w:t>。</w:t>
      </w:r>
    </w:p>
    <w:p w14:paraId="56600C94">
      <w:pPr>
        <w:widowControl/>
        <w:ind w:firstLine="640" w:firstLineChars="200"/>
        <w:rPr>
          <w:rFonts w:ascii="Times New Roman" w:hAnsi="Times New Roman" w:eastAsia="仿宋_GB2312"/>
          <w:szCs w:val="32"/>
        </w:rPr>
      </w:pPr>
      <w:r>
        <w:rPr>
          <w:rFonts w:ascii="Times New Roman" w:hAnsi="Times New Roman" w:eastAsia="仿宋_GB2312"/>
          <w:szCs w:val="32"/>
        </w:rPr>
        <w:drawing>
          <wp:inline distT="0" distB="0" distL="0" distR="0">
            <wp:extent cx="4902835" cy="2000250"/>
            <wp:effectExtent l="19050" t="0" r="1206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232B58">
      <w:pPr>
        <w:widowControl/>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五、一般公共预算财政拨款支出决算情况说明</w:t>
      </w:r>
    </w:p>
    <w:p w14:paraId="6A053315">
      <w:pPr>
        <w:widowControl/>
        <w:spacing w:line="576" w:lineRule="exact"/>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（一）财政拨款支出决算总体情况说明。</w:t>
      </w:r>
    </w:p>
    <w:p w14:paraId="6E981E41">
      <w:pPr>
        <w:widowControl/>
        <w:spacing w:line="576" w:lineRule="exact"/>
        <w:ind w:firstLine="640" w:firstLineChars="200"/>
        <w:rPr>
          <w:rFonts w:ascii="Times New Roman" w:hAnsi="Times New Roman" w:eastAsia="仿宋_GB2312"/>
          <w:szCs w:val="32"/>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ascii="Times New Roman" w:hAnsi="Times New Roman" w:eastAsia="仿宋_GB2312"/>
          <w:color w:val="000000"/>
          <w:kern w:val="0"/>
          <w:szCs w:val="32"/>
        </w:rPr>
        <w:t>财政拨款支出</w:t>
      </w:r>
      <w:r>
        <w:rPr>
          <w:rFonts w:hint="eastAsia" w:ascii="Times New Roman" w:hAnsi="Times New Roman" w:eastAsia="仿宋_GB2312"/>
          <w:color w:val="000000"/>
          <w:kern w:val="0"/>
          <w:szCs w:val="32"/>
        </w:rPr>
        <w:t>917.19</w:t>
      </w:r>
      <w:r>
        <w:rPr>
          <w:rFonts w:ascii="Times New Roman" w:hAnsi="Times New Roman" w:eastAsia="仿宋_GB2312"/>
          <w:color w:val="000000"/>
          <w:kern w:val="0"/>
          <w:szCs w:val="32"/>
        </w:rPr>
        <w:t>万元，占本年支出合计的</w:t>
      </w:r>
      <w:r>
        <w:rPr>
          <w:rFonts w:hint="eastAsia" w:ascii="Times New Roman" w:hAnsi="Times New Roman" w:eastAsia="仿宋_GB2312"/>
          <w:color w:val="000000"/>
          <w:kern w:val="0"/>
          <w:szCs w:val="32"/>
        </w:rPr>
        <w:t>100</w:t>
      </w:r>
      <w:r>
        <w:rPr>
          <w:rFonts w:ascii="Times New Roman" w:hAnsi="Times New Roman" w:eastAsia="仿宋_GB2312"/>
          <w:color w:val="000000"/>
          <w:kern w:val="0"/>
          <w:szCs w:val="32"/>
        </w:rPr>
        <w:t>%。与上年相比，财政拨款支出增加</w:t>
      </w:r>
      <w:r>
        <w:rPr>
          <w:rFonts w:hint="eastAsia" w:ascii="Times New Roman" w:hAnsi="Times New Roman" w:eastAsia="仿宋_GB2312"/>
          <w:szCs w:val="32"/>
        </w:rPr>
        <w:t>198.22</w:t>
      </w:r>
      <w:r>
        <w:rPr>
          <w:rFonts w:ascii="Times New Roman" w:hAnsi="Times New Roman" w:eastAsia="仿宋_GB2312"/>
          <w:color w:val="000000"/>
          <w:kern w:val="0"/>
          <w:szCs w:val="32"/>
        </w:rPr>
        <w:t>万元，增长</w:t>
      </w:r>
      <w:r>
        <w:rPr>
          <w:rFonts w:hint="eastAsia" w:ascii="Times New Roman" w:hAnsi="Times New Roman" w:eastAsia="仿宋_GB2312"/>
          <w:color w:val="000000"/>
          <w:kern w:val="0"/>
          <w:szCs w:val="32"/>
        </w:rPr>
        <w:t>27.57</w:t>
      </w:r>
      <w:r>
        <w:rPr>
          <w:rFonts w:ascii="Times New Roman" w:hAnsi="Times New Roman" w:eastAsia="仿宋_GB2312"/>
          <w:color w:val="000000"/>
          <w:kern w:val="0"/>
          <w:szCs w:val="32"/>
        </w:rPr>
        <w:t>%，主要原因是</w:t>
      </w:r>
      <w:r>
        <w:rPr>
          <w:rFonts w:hint="eastAsia" w:ascii="Times New Roman" w:hAnsi="Times New Roman" w:eastAsia="仿宋_GB2312"/>
          <w:szCs w:val="32"/>
        </w:rPr>
        <w:t>人大代表培训考察支出及人员经费支出</w:t>
      </w:r>
      <w:r>
        <w:rPr>
          <w:rFonts w:ascii="Times New Roman" w:hAnsi="Times New Roman" w:eastAsia="仿宋_GB2312"/>
          <w:szCs w:val="32"/>
        </w:rPr>
        <w:t>。</w:t>
      </w:r>
    </w:p>
    <w:p w14:paraId="5278C83F">
      <w:pPr>
        <w:spacing w:line="576" w:lineRule="exact"/>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（二）财政拨款支出决算具体情况说明。</w:t>
      </w:r>
    </w:p>
    <w:p w14:paraId="4201FE31">
      <w:pPr>
        <w:widowControl/>
        <w:spacing w:line="576"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ascii="Times New Roman" w:hAnsi="Times New Roman" w:eastAsia="仿宋_GB2312"/>
          <w:color w:val="000000"/>
          <w:kern w:val="0"/>
          <w:szCs w:val="32"/>
        </w:rPr>
        <w:t>财政拨款支出年初预算为</w:t>
      </w:r>
      <w:r>
        <w:rPr>
          <w:rFonts w:hint="eastAsia" w:ascii="Times New Roman" w:hAnsi="Times New Roman" w:eastAsia="仿宋_GB2312"/>
          <w:color w:val="000000"/>
          <w:kern w:val="0"/>
          <w:szCs w:val="32"/>
        </w:rPr>
        <w:t>561.68</w:t>
      </w:r>
      <w:r>
        <w:rPr>
          <w:rFonts w:ascii="Times New Roman" w:hAnsi="Times New Roman" w:eastAsia="仿宋_GB2312"/>
          <w:color w:val="000000"/>
          <w:kern w:val="0"/>
          <w:szCs w:val="32"/>
        </w:rPr>
        <w:t>元，支出决算为</w:t>
      </w:r>
      <w:r>
        <w:rPr>
          <w:rFonts w:hint="eastAsia" w:ascii="Times New Roman" w:hAnsi="Times New Roman" w:eastAsia="仿宋_GB2312"/>
          <w:color w:val="000000"/>
          <w:kern w:val="0"/>
          <w:szCs w:val="32"/>
        </w:rPr>
        <w:t>917.19</w:t>
      </w:r>
      <w:r>
        <w:rPr>
          <w:rFonts w:ascii="Times New Roman" w:hAnsi="Times New Roman" w:eastAsia="仿宋_GB2312"/>
          <w:color w:val="000000"/>
          <w:kern w:val="0"/>
          <w:szCs w:val="32"/>
        </w:rPr>
        <w:t>万元，完成年初预算的</w:t>
      </w:r>
      <w:r>
        <w:rPr>
          <w:rFonts w:hint="eastAsia" w:ascii="Times New Roman" w:hAnsi="Times New Roman" w:eastAsia="仿宋_GB2312"/>
          <w:color w:val="000000"/>
          <w:kern w:val="0"/>
          <w:szCs w:val="32"/>
        </w:rPr>
        <w:t>163.29</w:t>
      </w:r>
      <w:r>
        <w:rPr>
          <w:rFonts w:ascii="Times New Roman" w:hAnsi="Times New Roman" w:eastAsia="仿宋_GB2312"/>
          <w:color w:val="000000"/>
          <w:kern w:val="0"/>
          <w:szCs w:val="32"/>
        </w:rPr>
        <w:t>%。按照政府功能分类科目，其中：</w:t>
      </w:r>
    </w:p>
    <w:p w14:paraId="34F68D4F">
      <w:pPr>
        <w:widowControl/>
        <w:spacing w:line="576" w:lineRule="exact"/>
        <w:ind w:firstLine="643" w:firstLineChars="200"/>
        <w:rPr>
          <w:rFonts w:ascii="Times New Roman" w:hAnsi="Times New Roman"/>
        </w:rPr>
      </w:pPr>
      <w:r>
        <w:rPr>
          <w:rFonts w:ascii="Times New Roman" w:hAnsi="Times New Roman" w:eastAsia="仿宋_GB2312"/>
          <w:b/>
          <w:color w:val="000000"/>
          <w:kern w:val="0"/>
          <w:szCs w:val="32"/>
        </w:rPr>
        <w:t>1.一般公共服务支出（类）</w:t>
      </w:r>
      <w:r>
        <w:rPr>
          <w:rFonts w:hint="eastAsia" w:ascii="Times New Roman" w:hAnsi="Times New Roman" w:eastAsia="仿宋_GB2312"/>
          <w:b/>
          <w:color w:val="000000"/>
          <w:kern w:val="0"/>
          <w:szCs w:val="32"/>
        </w:rPr>
        <w:t>人大</w:t>
      </w:r>
      <w:r>
        <w:rPr>
          <w:rFonts w:ascii="Times New Roman" w:hAnsi="Times New Roman" w:eastAsia="仿宋_GB2312"/>
          <w:b/>
          <w:color w:val="000000"/>
          <w:kern w:val="0"/>
          <w:szCs w:val="32"/>
        </w:rPr>
        <w:t>事务（款）行政运行（项）。</w:t>
      </w:r>
    </w:p>
    <w:p w14:paraId="045CF2E7">
      <w:pPr>
        <w:widowControl/>
        <w:spacing w:line="576" w:lineRule="exact"/>
        <w:ind w:firstLine="640" w:firstLineChars="200"/>
        <w:rPr>
          <w:rFonts w:ascii="Times New Roman" w:hAnsi="Times New Roman" w:eastAsia="仿宋_GB2312"/>
          <w:szCs w:val="32"/>
        </w:rPr>
      </w:pPr>
      <w:r>
        <w:rPr>
          <w:rFonts w:ascii="Times New Roman" w:hAnsi="Times New Roman" w:eastAsia="仿宋_GB2312"/>
          <w:color w:val="000000"/>
          <w:kern w:val="0"/>
          <w:szCs w:val="32"/>
        </w:rPr>
        <w:t>年初预算为</w:t>
      </w:r>
      <w:r>
        <w:rPr>
          <w:rFonts w:hint="eastAsia" w:ascii="Times New Roman" w:hAnsi="Times New Roman" w:eastAsia="仿宋_GB2312"/>
          <w:color w:val="000000"/>
          <w:kern w:val="0"/>
          <w:szCs w:val="32"/>
        </w:rPr>
        <w:t>424.08</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795.1</w:t>
      </w:r>
      <w:r>
        <w:rPr>
          <w:rFonts w:ascii="Times New Roman" w:hAnsi="Times New Roman" w:eastAsia="仿宋_GB2312"/>
          <w:color w:val="000000"/>
          <w:kern w:val="0"/>
          <w:szCs w:val="32"/>
        </w:rPr>
        <w:t>万元，完成年初预算的</w:t>
      </w:r>
      <w:r>
        <w:rPr>
          <w:rFonts w:hint="eastAsia" w:ascii="Times New Roman" w:hAnsi="Times New Roman" w:eastAsia="仿宋_GB2312"/>
          <w:color w:val="000000"/>
          <w:kern w:val="0"/>
          <w:szCs w:val="32"/>
        </w:rPr>
        <w:t>187.49</w:t>
      </w:r>
      <w:r>
        <w:rPr>
          <w:rFonts w:ascii="Times New Roman" w:hAnsi="Times New Roman" w:eastAsia="仿宋_GB2312"/>
          <w:color w:val="000000"/>
          <w:kern w:val="0"/>
          <w:szCs w:val="32"/>
        </w:rPr>
        <w:t>%。决算数大于预算数的主要原因是</w:t>
      </w:r>
      <w:r>
        <w:rPr>
          <w:rFonts w:hint="eastAsia" w:ascii="Times New Roman" w:hAnsi="Times New Roman" w:eastAsia="仿宋_GB2312"/>
          <w:szCs w:val="32"/>
        </w:rPr>
        <w:t>人员经费支出</w:t>
      </w:r>
      <w:r>
        <w:rPr>
          <w:rFonts w:ascii="Times New Roman" w:hAnsi="Times New Roman" w:eastAsia="仿宋_GB2312"/>
          <w:szCs w:val="32"/>
        </w:rPr>
        <w:t>。</w:t>
      </w:r>
    </w:p>
    <w:p w14:paraId="6FBB9DBB">
      <w:pPr>
        <w:widowControl/>
        <w:spacing w:line="576" w:lineRule="exact"/>
        <w:ind w:firstLine="640" w:firstLineChars="200"/>
        <w:rPr>
          <w:rFonts w:hint="eastAsia" w:ascii="Times New Roman" w:hAnsi="Times New Roman" w:eastAsia="仿宋_GB2312"/>
          <w:color w:val="000000"/>
          <w:kern w:val="0"/>
          <w:szCs w:val="32"/>
        </w:rPr>
      </w:pPr>
      <w:r>
        <w:rPr>
          <w:rFonts w:hint="eastAsia" w:ascii="Times New Roman" w:hAnsi="Times New Roman" w:eastAsia="仿宋_GB2312"/>
          <w:color w:val="000000"/>
          <w:kern w:val="0"/>
          <w:szCs w:val="32"/>
        </w:rPr>
        <w:t xml:space="preserve">2. </w:t>
      </w:r>
      <w:r>
        <w:rPr>
          <w:rFonts w:ascii="Times New Roman" w:hAnsi="Times New Roman" w:eastAsia="仿宋_GB2312"/>
          <w:b/>
          <w:color w:val="000000"/>
          <w:kern w:val="0"/>
          <w:szCs w:val="32"/>
        </w:rPr>
        <w:t>一般公共服务支出（类）</w:t>
      </w:r>
      <w:r>
        <w:rPr>
          <w:rFonts w:hint="eastAsia" w:ascii="Times New Roman" w:hAnsi="Times New Roman" w:eastAsia="仿宋_GB2312"/>
          <w:b/>
          <w:color w:val="000000"/>
          <w:kern w:val="0"/>
          <w:szCs w:val="32"/>
        </w:rPr>
        <w:t>人大</w:t>
      </w:r>
      <w:r>
        <w:rPr>
          <w:rFonts w:ascii="Times New Roman" w:hAnsi="Times New Roman" w:eastAsia="仿宋_GB2312"/>
          <w:b/>
          <w:color w:val="000000"/>
          <w:kern w:val="0"/>
          <w:szCs w:val="32"/>
        </w:rPr>
        <w:t>事务（款）</w:t>
      </w:r>
      <w:r>
        <w:rPr>
          <w:rFonts w:hint="eastAsia" w:ascii="Times New Roman" w:hAnsi="Times New Roman" w:eastAsia="仿宋_GB2312"/>
          <w:b/>
          <w:color w:val="000000"/>
          <w:kern w:val="0"/>
          <w:szCs w:val="32"/>
        </w:rPr>
        <w:t>人大会议</w:t>
      </w:r>
      <w:r>
        <w:rPr>
          <w:rFonts w:ascii="Times New Roman" w:hAnsi="Times New Roman" w:eastAsia="仿宋_GB2312"/>
          <w:b/>
          <w:color w:val="000000"/>
          <w:kern w:val="0"/>
          <w:szCs w:val="32"/>
        </w:rPr>
        <w:t>（项）</w:t>
      </w:r>
      <w:r>
        <w:rPr>
          <w:rFonts w:hint="eastAsia" w:ascii="Times New Roman" w:hAnsi="Times New Roman" w:eastAsia="仿宋_GB2312"/>
          <w:color w:val="000000"/>
          <w:kern w:val="0"/>
          <w:szCs w:val="32"/>
        </w:rPr>
        <w:t xml:space="preserve"> </w:t>
      </w:r>
      <w:r>
        <w:rPr>
          <w:rFonts w:ascii="Times New Roman" w:hAnsi="Times New Roman" w:eastAsia="仿宋_GB2312"/>
          <w:color w:val="000000"/>
          <w:kern w:val="0"/>
          <w:szCs w:val="32"/>
        </w:rPr>
        <w:t>。</w:t>
      </w:r>
    </w:p>
    <w:p w14:paraId="5BD9643F">
      <w:pPr>
        <w:widowControl/>
        <w:spacing w:line="576" w:lineRule="exact"/>
        <w:ind w:firstLine="640" w:firstLineChars="200"/>
        <w:rPr>
          <w:rFonts w:ascii="Times New Roman" w:hAnsi="Times New Roman" w:eastAsia="仿宋_GB2312"/>
          <w:szCs w:val="32"/>
        </w:rPr>
      </w:pPr>
      <w:r>
        <w:rPr>
          <w:rFonts w:ascii="Times New Roman" w:hAnsi="Times New Roman" w:eastAsia="仿宋_GB2312"/>
          <w:color w:val="000000"/>
          <w:kern w:val="0"/>
          <w:szCs w:val="32"/>
        </w:rPr>
        <w:t>年初预算为</w:t>
      </w:r>
      <w:r>
        <w:rPr>
          <w:rFonts w:hint="eastAsia" w:ascii="Times New Roman" w:hAnsi="Times New Roman" w:eastAsia="仿宋_GB2312"/>
          <w:color w:val="000000"/>
          <w:kern w:val="0"/>
          <w:szCs w:val="32"/>
        </w:rPr>
        <w:t>102.5</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63.95</w:t>
      </w:r>
      <w:r>
        <w:rPr>
          <w:rFonts w:ascii="Times New Roman" w:hAnsi="Times New Roman" w:eastAsia="仿宋_GB2312"/>
          <w:color w:val="000000"/>
          <w:kern w:val="0"/>
          <w:szCs w:val="32"/>
        </w:rPr>
        <w:t>万元，完成年初预算的</w:t>
      </w:r>
      <w:r>
        <w:rPr>
          <w:rFonts w:hint="eastAsia" w:ascii="Times New Roman" w:hAnsi="Times New Roman" w:eastAsia="仿宋_GB2312"/>
          <w:color w:val="000000"/>
          <w:kern w:val="0"/>
          <w:szCs w:val="32"/>
        </w:rPr>
        <w:t>62.4</w:t>
      </w:r>
      <w:r>
        <w:rPr>
          <w:rFonts w:ascii="Times New Roman" w:hAnsi="Times New Roman" w:eastAsia="仿宋_GB2312"/>
          <w:color w:val="000000"/>
          <w:kern w:val="0"/>
          <w:szCs w:val="32"/>
        </w:rPr>
        <w:t>%。决算数小于预算数的主要原因是</w:t>
      </w:r>
      <w:r>
        <w:rPr>
          <w:rFonts w:hint="eastAsia" w:ascii="Times New Roman" w:hAnsi="Times New Roman" w:eastAsia="仿宋_GB2312"/>
          <w:szCs w:val="32"/>
        </w:rPr>
        <w:t>压缩会议费用支出</w:t>
      </w:r>
      <w:r>
        <w:rPr>
          <w:rFonts w:ascii="Times New Roman" w:hAnsi="Times New Roman" w:eastAsia="仿宋_GB2312"/>
          <w:szCs w:val="32"/>
        </w:rPr>
        <w:t>。</w:t>
      </w:r>
    </w:p>
    <w:p w14:paraId="42018850">
      <w:pPr>
        <w:widowControl/>
        <w:spacing w:line="576" w:lineRule="exact"/>
        <w:ind w:firstLine="640" w:firstLineChars="200"/>
        <w:rPr>
          <w:rFonts w:hint="eastAsia" w:ascii="Times New Roman" w:hAnsi="Times New Roman" w:eastAsia="仿宋_GB2312"/>
          <w:color w:val="000000"/>
          <w:kern w:val="0"/>
          <w:szCs w:val="32"/>
        </w:rPr>
      </w:pPr>
      <w:r>
        <w:rPr>
          <w:rFonts w:hint="eastAsia" w:ascii="Times New Roman" w:hAnsi="Times New Roman" w:eastAsia="仿宋_GB2312"/>
          <w:color w:val="000000"/>
          <w:kern w:val="0"/>
          <w:szCs w:val="32"/>
        </w:rPr>
        <w:t xml:space="preserve">3. </w:t>
      </w:r>
      <w:r>
        <w:rPr>
          <w:rFonts w:ascii="Times New Roman" w:hAnsi="Times New Roman" w:eastAsia="仿宋_GB2312"/>
          <w:b/>
          <w:color w:val="000000"/>
          <w:kern w:val="0"/>
          <w:szCs w:val="32"/>
        </w:rPr>
        <w:t>一般公共服务支出（类）</w:t>
      </w:r>
      <w:r>
        <w:rPr>
          <w:rFonts w:hint="eastAsia" w:ascii="Times New Roman" w:hAnsi="Times New Roman" w:eastAsia="仿宋_GB2312"/>
          <w:b/>
          <w:color w:val="000000"/>
          <w:kern w:val="0"/>
          <w:szCs w:val="32"/>
        </w:rPr>
        <w:t>人大</w:t>
      </w:r>
      <w:r>
        <w:rPr>
          <w:rFonts w:ascii="Times New Roman" w:hAnsi="Times New Roman" w:eastAsia="仿宋_GB2312"/>
          <w:b/>
          <w:color w:val="000000"/>
          <w:kern w:val="0"/>
          <w:szCs w:val="32"/>
        </w:rPr>
        <w:t>事务（款）</w:t>
      </w:r>
      <w:r>
        <w:rPr>
          <w:rFonts w:hint="eastAsia" w:ascii="Times New Roman" w:hAnsi="Times New Roman" w:eastAsia="仿宋_GB2312"/>
          <w:b/>
          <w:color w:val="000000"/>
          <w:kern w:val="0"/>
          <w:szCs w:val="32"/>
        </w:rPr>
        <w:t>人大监督</w:t>
      </w:r>
      <w:r>
        <w:rPr>
          <w:rFonts w:ascii="Times New Roman" w:hAnsi="Times New Roman" w:eastAsia="仿宋_GB2312"/>
          <w:b/>
          <w:color w:val="000000"/>
          <w:kern w:val="0"/>
          <w:szCs w:val="32"/>
        </w:rPr>
        <w:t>（项）</w:t>
      </w:r>
      <w:r>
        <w:rPr>
          <w:rFonts w:hint="eastAsia" w:ascii="Times New Roman" w:hAnsi="Times New Roman" w:eastAsia="仿宋_GB2312"/>
          <w:color w:val="000000"/>
          <w:kern w:val="0"/>
          <w:szCs w:val="32"/>
        </w:rPr>
        <w:t xml:space="preserve"> </w:t>
      </w:r>
      <w:r>
        <w:rPr>
          <w:rFonts w:ascii="Times New Roman" w:hAnsi="Times New Roman" w:eastAsia="仿宋_GB2312"/>
          <w:color w:val="000000"/>
          <w:kern w:val="0"/>
          <w:szCs w:val="32"/>
        </w:rPr>
        <w:t>。</w:t>
      </w:r>
    </w:p>
    <w:p w14:paraId="7C8B5C60">
      <w:pPr>
        <w:widowControl/>
        <w:spacing w:line="576" w:lineRule="exact"/>
        <w:ind w:firstLine="640" w:firstLineChars="200"/>
        <w:rPr>
          <w:rFonts w:ascii="Times New Roman" w:hAnsi="Times New Roman" w:eastAsia="仿宋_GB2312"/>
          <w:szCs w:val="32"/>
        </w:rPr>
      </w:pPr>
      <w:r>
        <w:rPr>
          <w:rFonts w:ascii="Times New Roman" w:hAnsi="Times New Roman" w:eastAsia="仿宋_GB2312"/>
          <w:color w:val="000000"/>
          <w:kern w:val="0"/>
          <w:szCs w:val="32"/>
        </w:rPr>
        <w:t>年初预算为</w:t>
      </w:r>
      <w:r>
        <w:rPr>
          <w:rFonts w:hint="eastAsia" w:ascii="Times New Roman" w:hAnsi="Times New Roman" w:eastAsia="仿宋_GB2312"/>
          <w:color w:val="000000"/>
          <w:kern w:val="0"/>
          <w:szCs w:val="32"/>
        </w:rPr>
        <w:t>24.1</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21.57</w:t>
      </w:r>
      <w:r>
        <w:rPr>
          <w:rFonts w:ascii="Times New Roman" w:hAnsi="Times New Roman" w:eastAsia="仿宋_GB2312"/>
          <w:color w:val="000000"/>
          <w:kern w:val="0"/>
          <w:szCs w:val="32"/>
        </w:rPr>
        <w:t>万元，完成年初预算的</w:t>
      </w:r>
      <w:r>
        <w:rPr>
          <w:rFonts w:hint="eastAsia" w:ascii="Times New Roman" w:hAnsi="Times New Roman" w:eastAsia="仿宋_GB2312"/>
          <w:color w:val="000000"/>
          <w:kern w:val="0"/>
          <w:szCs w:val="32"/>
        </w:rPr>
        <w:t>89.5</w:t>
      </w:r>
      <w:r>
        <w:rPr>
          <w:rFonts w:ascii="Times New Roman" w:hAnsi="Times New Roman" w:eastAsia="仿宋_GB2312"/>
          <w:color w:val="000000"/>
          <w:kern w:val="0"/>
          <w:szCs w:val="32"/>
        </w:rPr>
        <w:t>%。决算数小于预算数的主要原因是</w:t>
      </w:r>
      <w:r>
        <w:rPr>
          <w:rFonts w:hint="eastAsia" w:ascii="Times New Roman" w:hAnsi="Times New Roman" w:eastAsia="仿宋_GB2312"/>
          <w:color w:val="000000"/>
          <w:kern w:val="0"/>
          <w:szCs w:val="32"/>
        </w:rPr>
        <w:t>落实上级要求，</w:t>
      </w:r>
      <w:r>
        <w:rPr>
          <w:rFonts w:hint="eastAsia" w:ascii="Times New Roman" w:hAnsi="Times New Roman" w:eastAsia="仿宋_GB2312"/>
          <w:szCs w:val="32"/>
        </w:rPr>
        <w:t>节约经费</w:t>
      </w:r>
      <w:r>
        <w:rPr>
          <w:rFonts w:ascii="Times New Roman" w:hAnsi="Times New Roman" w:eastAsia="仿宋_GB2312"/>
          <w:szCs w:val="32"/>
        </w:rPr>
        <w:t>。</w:t>
      </w:r>
    </w:p>
    <w:p w14:paraId="3821910B">
      <w:pPr>
        <w:widowControl/>
        <w:spacing w:line="576" w:lineRule="exact"/>
        <w:ind w:firstLine="640" w:firstLineChars="200"/>
        <w:rPr>
          <w:rFonts w:hint="eastAsia" w:ascii="Times New Roman" w:hAnsi="Times New Roman" w:eastAsia="仿宋_GB2312"/>
          <w:color w:val="000000"/>
          <w:kern w:val="0"/>
          <w:szCs w:val="32"/>
        </w:rPr>
      </w:pPr>
      <w:r>
        <w:rPr>
          <w:rFonts w:hint="eastAsia" w:ascii="Times New Roman" w:hAnsi="Times New Roman" w:eastAsia="仿宋_GB2312"/>
          <w:color w:val="000000"/>
          <w:kern w:val="0"/>
          <w:szCs w:val="32"/>
        </w:rPr>
        <w:t xml:space="preserve">4. </w:t>
      </w:r>
      <w:r>
        <w:rPr>
          <w:rFonts w:ascii="Times New Roman" w:hAnsi="Times New Roman" w:eastAsia="仿宋_GB2312"/>
          <w:b/>
          <w:color w:val="000000"/>
          <w:kern w:val="0"/>
          <w:szCs w:val="32"/>
        </w:rPr>
        <w:t>一般公共服务支出（类）</w:t>
      </w:r>
      <w:r>
        <w:rPr>
          <w:rFonts w:hint="eastAsia" w:ascii="Times New Roman" w:hAnsi="Times New Roman" w:eastAsia="仿宋_GB2312"/>
          <w:b/>
          <w:color w:val="000000"/>
          <w:kern w:val="0"/>
          <w:szCs w:val="32"/>
        </w:rPr>
        <w:t>人大</w:t>
      </w:r>
      <w:r>
        <w:rPr>
          <w:rFonts w:ascii="Times New Roman" w:hAnsi="Times New Roman" w:eastAsia="仿宋_GB2312"/>
          <w:b/>
          <w:color w:val="000000"/>
          <w:kern w:val="0"/>
          <w:szCs w:val="32"/>
        </w:rPr>
        <w:t>事务（款）</w:t>
      </w:r>
      <w:r>
        <w:rPr>
          <w:rFonts w:hint="eastAsia" w:ascii="Times New Roman" w:hAnsi="Times New Roman" w:eastAsia="仿宋_GB2312"/>
          <w:b/>
          <w:color w:val="000000"/>
          <w:kern w:val="0"/>
          <w:szCs w:val="32"/>
        </w:rPr>
        <w:t>人大代表履职能力提升</w:t>
      </w:r>
      <w:r>
        <w:rPr>
          <w:rFonts w:ascii="Times New Roman" w:hAnsi="Times New Roman" w:eastAsia="仿宋_GB2312"/>
          <w:b/>
          <w:color w:val="000000"/>
          <w:kern w:val="0"/>
          <w:szCs w:val="32"/>
        </w:rPr>
        <w:t>（项）</w:t>
      </w:r>
      <w:r>
        <w:rPr>
          <w:rFonts w:hint="eastAsia" w:ascii="Times New Roman" w:hAnsi="Times New Roman" w:eastAsia="仿宋_GB2312"/>
          <w:color w:val="000000"/>
          <w:kern w:val="0"/>
          <w:szCs w:val="32"/>
        </w:rPr>
        <w:t xml:space="preserve"> </w:t>
      </w:r>
      <w:r>
        <w:rPr>
          <w:rFonts w:ascii="Times New Roman" w:hAnsi="Times New Roman" w:eastAsia="仿宋_GB2312"/>
          <w:color w:val="000000"/>
          <w:kern w:val="0"/>
          <w:szCs w:val="32"/>
        </w:rPr>
        <w:t>。</w:t>
      </w:r>
    </w:p>
    <w:p w14:paraId="6F5B20E0">
      <w:pPr>
        <w:widowControl/>
        <w:spacing w:line="576" w:lineRule="exact"/>
        <w:ind w:firstLine="640" w:firstLineChars="200"/>
        <w:rPr>
          <w:rFonts w:ascii="Times New Roman" w:hAnsi="Times New Roman" w:eastAsia="仿宋_GB2312"/>
          <w:szCs w:val="32"/>
        </w:rPr>
      </w:pPr>
      <w:r>
        <w:rPr>
          <w:rFonts w:ascii="Times New Roman" w:hAnsi="Times New Roman" w:eastAsia="仿宋_GB2312"/>
          <w:color w:val="000000"/>
          <w:kern w:val="0"/>
          <w:szCs w:val="32"/>
        </w:rPr>
        <w:t>年初预算为</w:t>
      </w:r>
      <w:r>
        <w:rPr>
          <w:rFonts w:hint="eastAsia" w:ascii="Times New Roman" w:hAnsi="Times New Roman" w:eastAsia="仿宋_GB2312"/>
          <w:color w:val="000000"/>
          <w:kern w:val="0"/>
          <w:szCs w:val="32"/>
        </w:rPr>
        <w:t>6</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34.7</w:t>
      </w:r>
      <w:r>
        <w:rPr>
          <w:rFonts w:ascii="Times New Roman" w:hAnsi="Times New Roman" w:eastAsia="仿宋_GB2312"/>
          <w:color w:val="000000"/>
          <w:kern w:val="0"/>
          <w:szCs w:val="32"/>
        </w:rPr>
        <w:t>万元，完成年初预算的</w:t>
      </w:r>
      <w:r>
        <w:rPr>
          <w:rFonts w:hint="eastAsia" w:ascii="Times New Roman" w:hAnsi="Times New Roman" w:eastAsia="仿宋_GB2312"/>
          <w:color w:val="000000"/>
          <w:kern w:val="0"/>
          <w:szCs w:val="32"/>
        </w:rPr>
        <w:t>578</w:t>
      </w:r>
      <w:r>
        <w:rPr>
          <w:rFonts w:ascii="Times New Roman" w:hAnsi="Times New Roman" w:eastAsia="仿宋_GB2312"/>
          <w:color w:val="000000"/>
          <w:kern w:val="0"/>
          <w:szCs w:val="32"/>
        </w:rPr>
        <w:t>%。决算数</w:t>
      </w:r>
      <w:r>
        <w:rPr>
          <w:rFonts w:hint="eastAsia" w:ascii="Times New Roman" w:hAnsi="Times New Roman" w:eastAsia="仿宋_GB2312"/>
          <w:color w:val="000000"/>
          <w:kern w:val="0"/>
          <w:szCs w:val="32"/>
        </w:rPr>
        <w:t>大</w:t>
      </w:r>
      <w:r>
        <w:rPr>
          <w:rFonts w:ascii="Times New Roman" w:hAnsi="Times New Roman" w:eastAsia="仿宋_GB2312"/>
          <w:color w:val="000000"/>
          <w:kern w:val="0"/>
          <w:szCs w:val="32"/>
        </w:rPr>
        <w:t>于预算数的主要原因是</w:t>
      </w:r>
      <w:r>
        <w:rPr>
          <w:rFonts w:hint="eastAsia" w:ascii="Times New Roman" w:hAnsi="Times New Roman" w:eastAsia="仿宋_GB2312"/>
          <w:color w:val="000000"/>
          <w:kern w:val="0"/>
          <w:szCs w:val="32"/>
        </w:rPr>
        <w:t>组织人大代表外出学习考察2次</w:t>
      </w:r>
      <w:r>
        <w:rPr>
          <w:rFonts w:ascii="Times New Roman" w:hAnsi="Times New Roman" w:eastAsia="仿宋_GB2312"/>
          <w:szCs w:val="32"/>
        </w:rPr>
        <w:t>。</w:t>
      </w:r>
    </w:p>
    <w:p w14:paraId="76DB4518">
      <w:pPr>
        <w:widowControl/>
        <w:spacing w:line="576" w:lineRule="exact"/>
        <w:ind w:firstLine="640" w:firstLineChars="200"/>
        <w:rPr>
          <w:rFonts w:hint="eastAsia" w:ascii="Times New Roman" w:hAnsi="Times New Roman" w:eastAsia="仿宋_GB2312"/>
          <w:color w:val="000000"/>
          <w:kern w:val="0"/>
          <w:szCs w:val="32"/>
        </w:rPr>
      </w:pPr>
      <w:r>
        <w:rPr>
          <w:rFonts w:hint="eastAsia" w:ascii="Times New Roman" w:hAnsi="Times New Roman" w:eastAsia="仿宋_GB2312"/>
          <w:color w:val="000000"/>
          <w:kern w:val="0"/>
          <w:szCs w:val="32"/>
        </w:rPr>
        <w:t xml:space="preserve">5. </w:t>
      </w:r>
      <w:r>
        <w:rPr>
          <w:rFonts w:ascii="Times New Roman" w:hAnsi="Times New Roman" w:eastAsia="仿宋_GB2312"/>
          <w:b/>
          <w:color w:val="000000"/>
          <w:kern w:val="0"/>
          <w:szCs w:val="32"/>
        </w:rPr>
        <w:t>一般公共服务支出（类）</w:t>
      </w:r>
      <w:r>
        <w:rPr>
          <w:rFonts w:hint="eastAsia" w:ascii="Times New Roman" w:hAnsi="Times New Roman" w:eastAsia="仿宋_GB2312"/>
          <w:b/>
          <w:color w:val="000000"/>
          <w:kern w:val="0"/>
          <w:szCs w:val="32"/>
        </w:rPr>
        <w:t>人大</w:t>
      </w:r>
      <w:r>
        <w:rPr>
          <w:rFonts w:ascii="Times New Roman" w:hAnsi="Times New Roman" w:eastAsia="仿宋_GB2312"/>
          <w:b/>
          <w:color w:val="000000"/>
          <w:kern w:val="0"/>
          <w:szCs w:val="32"/>
        </w:rPr>
        <w:t>事务（款）</w:t>
      </w:r>
      <w:r>
        <w:rPr>
          <w:rFonts w:hint="eastAsia" w:ascii="Times New Roman" w:hAnsi="Times New Roman" w:eastAsia="仿宋_GB2312"/>
          <w:b/>
          <w:color w:val="000000"/>
          <w:kern w:val="0"/>
          <w:szCs w:val="32"/>
        </w:rPr>
        <w:t>代表工作</w:t>
      </w:r>
      <w:r>
        <w:rPr>
          <w:rFonts w:ascii="Times New Roman" w:hAnsi="Times New Roman" w:eastAsia="仿宋_GB2312"/>
          <w:b/>
          <w:color w:val="000000"/>
          <w:kern w:val="0"/>
          <w:szCs w:val="32"/>
        </w:rPr>
        <w:t>（项）</w:t>
      </w:r>
      <w:r>
        <w:rPr>
          <w:rFonts w:hint="eastAsia" w:ascii="Times New Roman" w:hAnsi="Times New Roman" w:eastAsia="仿宋_GB2312"/>
          <w:color w:val="000000"/>
          <w:kern w:val="0"/>
          <w:szCs w:val="32"/>
        </w:rPr>
        <w:t xml:space="preserve"> </w:t>
      </w:r>
      <w:r>
        <w:rPr>
          <w:rFonts w:ascii="Times New Roman" w:hAnsi="Times New Roman" w:eastAsia="仿宋_GB2312"/>
          <w:color w:val="000000"/>
          <w:kern w:val="0"/>
          <w:szCs w:val="32"/>
        </w:rPr>
        <w:t>。</w:t>
      </w:r>
    </w:p>
    <w:p w14:paraId="1AEC8EF8">
      <w:pPr>
        <w:widowControl/>
        <w:ind w:firstLine="640" w:firstLineChars="200"/>
        <w:rPr>
          <w:rFonts w:hint="eastAsia" w:ascii="Times New Roman" w:hAnsi="Times New Roman" w:eastAsia="仿宋_GB2312"/>
          <w:szCs w:val="32"/>
        </w:rPr>
      </w:pPr>
      <w:r>
        <w:rPr>
          <w:rFonts w:ascii="Times New Roman" w:hAnsi="Times New Roman" w:eastAsia="仿宋_GB2312"/>
          <w:color w:val="000000"/>
          <w:kern w:val="0"/>
          <w:szCs w:val="32"/>
        </w:rPr>
        <w:t>年初预算为</w:t>
      </w:r>
      <w:r>
        <w:rPr>
          <w:rFonts w:hint="eastAsia" w:ascii="Times New Roman" w:hAnsi="Times New Roman" w:eastAsia="仿宋_GB2312"/>
          <w:color w:val="000000"/>
          <w:kern w:val="0"/>
          <w:szCs w:val="32"/>
        </w:rPr>
        <w:t>5</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1.87</w:t>
      </w:r>
      <w:r>
        <w:rPr>
          <w:rFonts w:ascii="Times New Roman" w:hAnsi="Times New Roman" w:eastAsia="仿宋_GB2312"/>
          <w:color w:val="000000"/>
          <w:kern w:val="0"/>
          <w:szCs w:val="32"/>
        </w:rPr>
        <w:t>万元，完成年初预算的</w:t>
      </w:r>
      <w:r>
        <w:rPr>
          <w:rFonts w:hint="eastAsia" w:ascii="Times New Roman" w:hAnsi="Times New Roman" w:eastAsia="仿宋_GB2312"/>
          <w:color w:val="000000"/>
          <w:kern w:val="0"/>
          <w:szCs w:val="32"/>
        </w:rPr>
        <w:t>37.4</w:t>
      </w:r>
      <w:r>
        <w:rPr>
          <w:rFonts w:ascii="Times New Roman" w:hAnsi="Times New Roman" w:eastAsia="仿宋_GB2312"/>
          <w:color w:val="000000"/>
          <w:kern w:val="0"/>
          <w:szCs w:val="32"/>
        </w:rPr>
        <w:t>%。决算数</w:t>
      </w:r>
      <w:r>
        <w:rPr>
          <w:rFonts w:hint="eastAsia" w:ascii="Times New Roman" w:hAnsi="Times New Roman" w:eastAsia="仿宋_GB2312"/>
          <w:color w:val="000000"/>
          <w:kern w:val="0"/>
          <w:szCs w:val="32"/>
        </w:rPr>
        <w:t>大</w:t>
      </w:r>
      <w:r>
        <w:rPr>
          <w:rFonts w:ascii="Times New Roman" w:hAnsi="Times New Roman" w:eastAsia="仿宋_GB2312"/>
          <w:color w:val="000000"/>
          <w:kern w:val="0"/>
          <w:szCs w:val="32"/>
        </w:rPr>
        <w:t>于预算数的主要原因是</w:t>
      </w:r>
      <w:r>
        <w:rPr>
          <w:rFonts w:hint="eastAsia" w:ascii="Times New Roman" w:hAnsi="Times New Roman" w:eastAsia="仿宋_GB2312"/>
          <w:color w:val="000000"/>
          <w:kern w:val="0"/>
          <w:szCs w:val="32"/>
        </w:rPr>
        <w:t>落实上级要求，</w:t>
      </w:r>
      <w:r>
        <w:rPr>
          <w:rFonts w:hint="eastAsia" w:ascii="Times New Roman" w:hAnsi="Times New Roman" w:eastAsia="仿宋_GB2312"/>
          <w:szCs w:val="32"/>
        </w:rPr>
        <w:t>节约经费</w:t>
      </w:r>
      <w:r>
        <w:rPr>
          <w:rFonts w:ascii="Times New Roman" w:hAnsi="Times New Roman" w:eastAsia="仿宋_GB2312"/>
          <w:szCs w:val="32"/>
        </w:rPr>
        <w:t>。</w:t>
      </w:r>
    </w:p>
    <w:p w14:paraId="0F0EE684">
      <w:pPr>
        <w:widowControl/>
        <w:ind w:firstLine="640" w:firstLineChars="200"/>
        <w:rPr>
          <w:rFonts w:ascii="Times New Roman" w:hAnsi="Times New Roman" w:eastAsia="仿宋_GB2312"/>
          <w:szCs w:val="32"/>
        </w:rPr>
      </w:pPr>
      <w:r>
        <w:rPr>
          <w:rFonts w:ascii="Times New Roman" w:hAnsi="Times New Roman" w:eastAsia="仿宋_GB2312"/>
          <w:szCs w:val="32"/>
        </w:rPr>
        <w:drawing>
          <wp:inline distT="0" distB="0" distL="0" distR="0">
            <wp:extent cx="4933950" cy="2124075"/>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09C39B">
      <w:pPr>
        <w:ind w:firstLine="640" w:firstLineChars="200"/>
        <w:rPr>
          <w:rFonts w:ascii="Times New Roman" w:hAnsi="Times New Roman" w:eastAsia="仿宋_GB2312"/>
          <w:szCs w:val="32"/>
        </w:rPr>
      </w:pPr>
      <w:r>
        <w:rPr>
          <w:rFonts w:ascii="Times New Roman" w:hAnsi="Times New Roman" w:eastAsia="黑体"/>
          <w:color w:val="000000"/>
          <w:kern w:val="0"/>
          <w:szCs w:val="32"/>
        </w:rPr>
        <w:t>六、一般公共预算财政拨款基本支出决算情况说明</w:t>
      </w:r>
    </w:p>
    <w:p w14:paraId="793EF035">
      <w:pPr>
        <w:widowControl/>
        <w:spacing w:line="576" w:lineRule="exact"/>
        <w:ind w:firstLine="620" w:firstLineChars="200"/>
        <w:rPr>
          <w:rFonts w:ascii="Times New Roman" w:hAnsi="Times New Roman" w:eastAsia="仿宋_GB2312"/>
          <w:color w:val="000000"/>
          <w:kern w:val="0"/>
          <w:sz w:val="31"/>
          <w:szCs w:val="31"/>
        </w:rPr>
      </w:pPr>
      <w:r>
        <w:rPr>
          <w:rFonts w:ascii="Times New Roman" w:hAnsi="Times New Roman" w:eastAsia="仿宋_GB2312"/>
          <w:color w:val="000000"/>
          <w:kern w:val="0"/>
          <w:sz w:val="31"/>
          <w:szCs w:val="31"/>
        </w:rPr>
        <w:t>2019年</w:t>
      </w:r>
      <w:r>
        <w:rPr>
          <w:rFonts w:ascii="Times New Roman" w:hAnsi="Times New Roman" w:eastAsia="仿宋_GB2312"/>
          <w:szCs w:val="32"/>
        </w:rPr>
        <w:t>度</w:t>
      </w:r>
      <w:r>
        <w:rPr>
          <w:rFonts w:ascii="Times New Roman" w:hAnsi="Times New Roman" w:eastAsia="仿宋_GB2312"/>
          <w:color w:val="000000"/>
          <w:kern w:val="0"/>
          <w:sz w:val="31"/>
          <w:szCs w:val="31"/>
        </w:rPr>
        <w:t>一般公共预算财政拨款基本支出745.61万元，包括：人员经费支出</w:t>
      </w:r>
      <w:r>
        <w:rPr>
          <w:rFonts w:hint="eastAsia" w:ascii="Times New Roman" w:hAnsi="Times New Roman" w:eastAsia="仿宋_GB2312"/>
          <w:color w:val="000000"/>
          <w:kern w:val="0"/>
          <w:sz w:val="31"/>
          <w:szCs w:val="31"/>
        </w:rPr>
        <w:t>690.8</w:t>
      </w:r>
      <w:r>
        <w:rPr>
          <w:rFonts w:ascii="Times New Roman" w:hAnsi="Times New Roman" w:eastAsia="仿宋_GB2312"/>
          <w:color w:val="000000"/>
          <w:kern w:val="0"/>
          <w:sz w:val="31"/>
          <w:szCs w:val="31"/>
        </w:rPr>
        <w:t>万元和公用经费支出</w:t>
      </w:r>
      <w:r>
        <w:rPr>
          <w:rFonts w:hint="eastAsia" w:ascii="Times New Roman" w:hAnsi="Times New Roman" w:eastAsia="仿宋_GB2312"/>
          <w:color w:val="000000"/>
          <w:kern w:val="0"/>
          <w:sz w:val="31"/>
          <w:szCs w:val="31"/>
        </w:rPr>
        <w:t>54.8</w:t>
      </w:r>
      <w:r>
        <w:rPr>
          <w:rFonts w:ascii="Times New Roman" w:hAnsi="Times New Roman" w:eastAsia="仿宋_GB2312"/>
          <w:color w:val="000000"/>
          <w:kern w:val="0"/>
          <w:sz w:val="31"/>
          <w:szCs w:val="31"/>
        </w:rPr>
        <w:t>万元。</w:t>
      </w:r>
    </w:p>
    <w:p w14:paraId="7872B8D2">
      <w:pPr>
        <w:widowControl/>
        <w:spacing w:line="576"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人员经费</w:t>
      </w:r>
      <w:r>
        <w:rPr>
          <w:rFonts w:hint="eastAsia" w:ascii="Times New Roman" w:hAnsi="Times New Roman" w:eastAsia="仿宋_GB2312"/>
          <w:color w:val="000000"/>
          <w:kern w:val="0"/>
          <w:szCs w:val="32"/>
        </w:rPr>
        <w:t>690.8</w:t>
      </w:r>
      <w:r>
        <w:rPr>
          <w:rFonts w:ascii="Times New Roman" w:hAnsi="Times New Roman" w:eastAsia="仿宋_GB2312"/>
          <w:color w:val="000000"/>
          <w:kern w:val="0"/>
          <w:szCs w:val="32"/>
        </w:rPr>
        <w:t>万元，主要包括基本工资</w:t>
      </w:r>
      <w:r>
        <w:rPr>
          <w:rFonts w:hint="eastAsia" w:ascii="Times New Roman" w:hAnsi="Times New Roman" w:eastAsia="仿宋_GB2312"/>
          <w:color w:val="000000"/>
          <w:kern w:val="0"/>
          <w:szCs w:val="32"/>
        </w:rPr>
        <w:t>152.33</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  津贴补贴95.48</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,奖金165.64</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,机关事业单位基本养老保险缴费</w:t>
      </w:r>
      <w:r>
        <w:rPr>
          <w:rFonts w:hint="eastAsia" w:ascii="Times New Roman" w:hAnsi="Times New Roman" w:eastAsia="仿宋_GB2312"/>
          <w:color w:val="000000"/>
          <w:kern w:val="0"/>
          <w:szCs w:val="32"/>
        </w:rPr>
        <w:tab/>
      </w:r>
      <w:r>
        <w:rPr>
          <w:rFonts w:hint="eastAsia" w:ascii="Times New Roman" w:hAnsi="Times New Roman" w:eastAsia="仿宋_GB2312"/>
          <w:color w:val="000000"/>
          <w:kern w:val="0"/>
          <w:szCs w:val="32"/>
        </w:rPr>
        <w:t>37.14</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,职业年金缴费7.31</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,职工基本医疗保险缴费</w:t>
      </w:r>
      <w:r>
        <w:rPr>
          <w:rFonts w:hint="eastAsia" w:ascii="Times New Roman" w:hAnsi="Times New Roman" w:eastAsia="仿宋_GB2312"/>
          <w:color w:val="000000"/>
          <w:kern w:val="0"/>
          <w:szCs w:val="32"/>
        </w:rPr>
        <w:tab/>
      </w:r>
      <w:r>
        <w:rPr>
          <w:rFonts w:hint="eastAsia" w:ascii="Times New Roman" w:hAnsi="Times New Roman" w:eastAsia="仿宋_GB2312"/>
          <w:color w:val="000000"/>
          <w:kern w:val="0"/>
          <w:szCs w:val="32"/>
        </w:rPr>
        <w:t>14.16</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,住房公积金</w:t>
      </w:r>
      <w:r>
        <w:rPr>
          <w:rFonts w:hint="eastAsia" w:ascii="Times New Roman" w:hAnsi="Times New Roman" w:eastAsia="仿宋_GB2312"/>
          <w:color w:val="000000"/>
          <w:kern w:val="0"/>
          <w:szCs w:val="32"/>
        </w:rPr>
        <w:tab/>
      </w:r>
      <w:r>
        <w:rPr>
          <w:rFonts w:hint="eastAsia" w:ascii="Times New Roman" w:hAnsi="Times New Roman" w:eastAsia="仿宋_GB2312"/>
          <w:color w:val="000000"/>
          <w:kern w:val="0"/>
          <w:szCs w:val="32"/>
        </w:rPr>
        <w:t>102.59</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,其他工资福利支出73.04</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  离休费10.22</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,抚恤金21.44</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 生活补助8.93</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,其他对个人和家庭的补助2.52</w:t>
      </w:r>
      <w:r>
        <w:rPr>
          <w:rFonts w:ascii="Times New Roman" w:hAnsi="Times New Roman" w:eastAsia="仿宋_GB2312"/>
          <w:color w:val="000000"/>
          <w:kern w:val="0"/>
          <w:szCs w:val="32"/>
        </w:rPr>
        <w:t>万元。</w:t>
      </w:r>
    </w:p>
    <w:p w14:paraId="19B0FD09">
      <w:pPr>
        <w:widowControl/>
        <w:spacing w:line="576"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公用经费</w:t>
      </w:r>
      <w:r>
        <w:rPr>
          <w:rFonts w:hint="eastAsia" w:ascii="Times New Roman" w:hAnsi="Times New Roman" w:eastAsia="仿宋_GB2312"/>
          <w:color w:val="000000"/>
          <w:kern w:val="0"/>
          <w:szCs w:val="32"/>
        </w:rPr>
        <w:t>54.8</w:t>
      </w:r>
      <w:r>
        <w:rPr>
          <w:rFonts w:ascii="Times New Roman" w:hAnsi="Times New Roman" w:eastAsia="仿宋_GB2312"/>
          <w:color w:val="000000"/>
          <w:kern w:val="0"/>
          <w:szCs w:val="32"/>
        </w:rPr>
        <w:t>万元，主要包括办公费</w:t>
      </w:r>
      <w:r>
        <w:rPr>
          <w:rFonts w:hint="eastAsia" w:ascii="Times New Roman" w:hAnsi="Times New Roman" w:eastAsia="仿宋_GB2312"/>
          <w:color w:val="000000"/>
          <w:kern w:val="0"/>
          <w:szCs w:val="32"/>
        </w:rPr>
        <w:t>2.5</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,邮电费0.97</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,维修(护)费</w:t>
      </w:r>
      <w:r>
        <w:rPr>
          <w:rFonts w:hint="eastAsia" w:ascii="Times New Roman" w:hAnsi="Times New Roman" w:eastAsia="仿宋_GB2312"/>
          <w:color w:val="000000"/>
          <w:kern w:val="0"/>
          <w:szCs w:val="32"/>
        </w:rPr>
        <w:tab/>
      </w:r>
      <w:r>
        <w:rPr>
          <w:rFonts w:hint="eastAsia" w:ascii="Times New Roman" w:hAnsi="Times New Roman" w:eastAsia="仿宋_GB2312"/>
          <w:color w:val="000000"/>
          <w:kern w:val="0"/>
          <w:szCs w:val="32"/>
        </w:rPr>
        <w:t>0.14</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,培训费0.13</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,工会经费11.69</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,公务用车运行维护费6.61</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,其他交通费29.85</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 其他商品和服务支出</w:t>
      </w:r>
      <w:r>
        <w:rPr>
          <w:rFonts w:hint="eastAsia" w:ascii="Times New Roman" w:hAnsi="Times New Roman" w:eastAsia="仿宋_GB2312"/>
          <w:color w:val="000000"/>
          <w:kern w:val="0"/>
          <w:szCs w:val="32"/>
        </w:rPr>
        <w:tab/>
      </w:r>
      <w:r>
        <w:rPr>
          <w:rFonts w:hint="eastAsia" w:ascii="Times New Roman" w:hAnsi="Times New Roman" w:eastAsia="仿宋_GB2312"/>
          <w:color w:val="000000"/>
          <w:kern w:val="0"/>
          <w:szCs w:val="32"/>
        </w:rPr>
        <w:t>0.02</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 办公设备购置</w:t>
      </w:r>
      <w:r>
        <w:rPr>
          <w:rFonts w:hint="eastAsia" w:ascii="Times New Roman" w:hAnsi="Times New Roman" w:eastAsia="仿宋_GB2312"/>
          <w:color w:val="000000"/>
          <w:kern w:val="0"/>
          <w:szCs w:val="32"/>
        </w:rPr>
        <w:tab/>
      </w:r>
      <w:r>
        <w:rPr>
          <w:rFonts w:hint="eastAsia" w:ascii="Times New Roman" w:hAnsi="Times New Roman" w:eastAsia="仿宋_GB2312"/>
          <w:color w:val="000000"/>
          <w:kern w:val="0"/>
          <w:szCs w:val="32"/>
        </w:rPr>
        <w:t>2.89</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w:t>
      </w:r>
    </w:p>
    <w:p w14:paraId="00F603F3">
      <w:pPr>
        <w:spacing w:line="576"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七、一般公共预算财政拨款“三公”经费及会议费、培训费支出决算情况说明</w:t>
      </w:r>
    </w:p>
    <w:p w14:paraId="05BA4190">
      <w:pPr>
        <w:widowControl/>
        <w:spacing w:line="576" w:lineRule="exact"/>
        <w:ind w:firstLine="643" w:firstLineChars="200"/>
        <w:rPr>
          <w:rFonts w:ascii="Times New Roman" w:hAnsi="Times New Roman"/>
        </w:rPr>
      </w:pPr>
      <w:r>
        <w:rPr>
          <w:rFonts w:ascii="Times New Roman" w:hAnsi="Times New Roman" w:eastAsia="楷体_GB2312"/>
          <w:b/>
          <w:color w:val="000000"/>
          <w:kern w:val="0"/>
          <w:szCs w:val="32"/>
        </w:rPr>
        <w:t>（一）“三公”经费财政拨款支出决算总体情况说明。</w:t>
      </w:r>
    </w:p>
    <w:p w14:paraId="242474B1">
      <w:pPr>
        <w:widowControl/>
        <w:spacing w:line="576" w:lineRule="exact"/>
        <w:ind w:firstLine="640" w:firstLineChars="200"/>
        <w:rPr>
          <w:rFonts w:ascii="Times New Roman" w:hAnsi="Times New Roman"/>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ascii="Times New Roman" w:hAnsi="Times New Roman" w:eastAsia="仿宋_GB2312"/>
          <w:color w:val="000000"/>
          <w:kern w:val="0"/>
          <w:szCs w:val="32"/>
        </w:rPr>
        <w:t>“三公”经费财政拨款支出预算为</w:t>
      </w:r>
      <w:r>
        <w:rPr>
          <w:rFonts w:hint="eastAsia" w:ascii="Times New Roman" w:hAnsi="Times New Roman" w:eastAsia="仿宋_GB2312"/>
          <w:color w:val="000000"/>
          <w:kern w:val="0"/>
          <w:szCs w:val="32"/>
        </w:rPr>
        <w:t>11.24</w:t>
      </w:r>
      <w:r>
        <w:rPr>
          <w:rFonts w:ascii="Times New Roman" w:hAnsi="Times New Roman" w:eastAsia="仿宋_GB2312"/>
          <w:color w:val="000000"/>
          <w:kern w:val="0"/>
          <w:szCs w:val="32"/>
        </w:rPr>
        <w:t>万元，支出</w:t>
      </w:r>
      <w:r>
        <w:rPr>
          <w:rFonts w:ascii="Times New Roman" w:hAnsi="Times New Roman" w:eastAsia="仿宋_GB2312"/>
          <w:kern w:val="0"/>
          <w:szCs w:val="32"/>
        </w:rPr>
        <w:t>决算为</w:t>
      </w:r>
      <w:r>
        <w:rPr>
          <w:rFonts w:hint="eastAsia" w:ascii="Times New Roman" w:hAnsi="Times New Roman" w:eastAsia="仿宋_GB2312"/>
          <w:kern w:val="0"/>
          <w:szCs w:val="32"/>
        </w:rPr>
        <w:t>6.61</w:t>
      </w:r>
      <w:r>
        <w:rPr>
          <w:rFonts w:ascii="Times New Roman" w:hAnsi="Times New Roman" w:eastAsia="仿宋_GB2312"/>
          <w:kern w:val="0"/>
          <w:szCs w:val="32"/>
        </w:rPr>
        <w:t>万元</w:t>
      </w:r>
      <w:r>
        <w:rPr>
          <w:rFonts w:ascii="Times New Roman" w:hAnsi="Times New Roman" w:eastAsia="仿宋_GB2312"/>
          <w:color w:val="000000"/>
          <w:kern w:val="0"/>
          <w:szCs w:val="32"/>
        </w:rPr>
        <w:t>，完成预算的</w:t>
      </w:r>
      <w:r>
        <w:rPr>
          <w:rFonts w:hint="eastAsia" w:ascii="Times New Roman" w:hAnsi="Times New Roman" w:eastAsia="仿宋_GB2312"/>
          <w:color w:val="000000"/>
          <w:kern w:val="0"/>
          <w:szCs w:val="32"/>
        </w:rPr>
        <w:t>58</w:t>
      </w:r>
      <w:r>
        <w:rPr>
          <w:rFonts w:ascii="Times New Roman" w:hAnsi="Times New Roman" w:eastAsia="仿宋_GB2312"/>
          <w:color w:val="000000"/>
          <w:kern w:val="0"/>
          <w:szCs w:val="32"/>
        </w:rPr>
        <w:t>%</w:t>
      </w:r>
      <w:r>
        <w:rPr>
          <w:rFonts w:hint="eastAsia" w:ascii="Times New Roman" w:hAnsi="Times New Roman" w:eastAsia="仿宋_GB2312"/>
          <w:color w:val="000000"/>
          <w:kern w:val="0"/>
          <w:szCs w:val="32"/>
        </w:rPr>
        <w:t>，决算数较预算数减少4.63万元，主要原因是规范公车运行</w:t>
      </w:r>
      <w:r>
        <w:rPr>
          <w:rFonts w:ascii="Times New Roman" w:hAnsi="Times New Roman" w:eastAsia="仿宋_GB2312"/>
          <w:color w:val="000000"/>
          <w:kern w:val="0"/>
          <w:szCs w:val="32"/>
        </w:rPr>
        <w:t>。</w:t>
      </w:r>
    </w:p>
    <w:p w14:paraId="79160FA0">
      <w:pPr>
        <w:spacing w:line="576" w:lineRule="exact"/>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（二）“三公”经费财政拨款支出决算具体情况说明。</w:t>
      </w:r>
    </w:p>
    <w:p w14:paraId="69121E8F">
      <w:pPr>
        <w:widowControl/>
        <w:spacing w:line="576" w:lineRule="exact"/>
        <w:ind w:firstLine="640" w:firstLineChars="200"/>
        <w:rPr>
          <w:rFonts w:ascii="Times New Roman" w:hAnsi="Times New Roman"/>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ascii="Times New Roman" w:hAnsi="Times New Roman" w:eastAsia="仿宋_GB2312"/>
          <w:color w:val="000000"/>
          <w:kern w:val="0"/>
          <w:szCs w:val="32"/>
        </w:rPr>
        <w:t>“三公”经费财政拨款支出决算中，因公出国（境）费支出决算</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%；公务用车购置费支出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%；公务用车运行</w:t>
      </w:r>
      <w:r>
        <w:rPr>
          <w:rFonts w:ascii="Times New Roman" w:hAnsi="Times New Roman" w:eastAsia="仿宋_GB2312"/>
          <w:szCs w:val="32"/>
        </w:rPr>
        <w:t>维护</w:t>
      </w:r>
      <w:r>
        <w:rPr>
          <w:rFonts w:ascii="Times New Roman" w:hAnsi="Times New Roman" w:eastAsia="仿宋_GB2312"/>
          <w:color w:val="000000"/>
          <w:kern w:val="0"/>
          <w:szCs w:val="32"/>
        </w:rPr>
        <w:t>费支出决算</w:t>
      </w:r>
      <w:r>
        <w:rPr>
          <w:rFonts w:hint="eastAsia" w:ascii="Times New Roman" w:hAnsi="Times New Roman" w:eastAsia="仿宋_GB2312"/>
          <w:color w:val="000000"/>
          <w:kern w:val="0"/>
          <w:szCs w:val="32"/>
        </w:rPr>
        <w:t>6.61</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100</w:t>
      </w:r>
      <w:r>
        <w:rPr>
          <w:rFonts w:ascii="Times New Roman" w:hAnsi="Times New Roman" w:eastAsia="仿宋_GB2312"/>
          <w:color w:val="000000"/>
          <w:kern w:val="0"/>
          <w:szCs w:val="32"/>
        </w:rPr>
        <w:t>%；公务接待费支出决算</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%。具体情况如下：</w:t>
      </w:r>
    </w:p>
    <w:p w14:paraId="06EA64E3">
      <w:pPr>
        <w:spacing w:line="576" w:lineRule="exact"/>
        <w:ind w:firstLine="643" w:firstLineChars="200"/>
        <w:rPr>
          <w:rFonts w:ascii="Times New Roman" w:hAnsi="Times New Roman" w:eastAsia="仿宋_GB2312"/>
          <w:b/>
          <w:bCs/>
          <w:szCs w:val="32"/>
        </w:rPr>
      </w:pPr>
      <w:r>
        <w:rPr>
          <w:rFonts w:ascii="Times New Roman" w:hAnsi="Times New Roman" w:eastAsia="仿宋_GB2312"/>
          <w:b/>
          <w:bCs/>
          <w:szCs w:val="32"/>
        </w:rPr>
        <w:t>1.因公出国（境）支出情况</w:t>
      </w:r>
      <w:r>
        <w:rPr>
          <w:rFonts w:ascii="Times New Roman" w:hAnsi="Times New Roman" w:eastAsia="楷体_GB2312"/>
          <w:b/>
          <w:color w:val="000000"/>
          <w:kern w:val="0"/>
          <w:szCs w:val="32"/>
        </w:rPr>
        <w:t>说明</w:t>
      </w:r>
      <w:r>
        <w:rPr>
          <w:rFonts w:ascii="Times New Roman" w:hAnsi="Times New Roman" w:eastAsia="仿宋_GB2312"/>
          <w:b/>
          <w:bCs/>
          <w:szCs w:val="32"/>
        </w:rPr>
        <w:t>。</w:t>
      </w:r>
    </w:p>
    <w:p w14:paraId="5AC21BCC">
      <w:pPr>
        <w:widowControl/>
        <w:spacing w:line="576" w:lineRule="exact"/>
        <w:ind w:firstLine="640" w:firstLineChars="200"/>
        <w:rPr>
          <w:rFonts w:ascii="Times New Roman" w:hAnsi="Times New Roman"/>
        </w:rPr>
      </w:pPr>
      <w:r>
        <w:rPr>
          <w:rFonts w:ascii="Times New Roman" w:hAnsi="Times New Roman" w:eastAsia="仿宋_GB2312"/>
          <w:szCs w:val="32"/>
        </w:rPr>
        <w:t>2019年度因公出国（境）团组</w:t>
      </w:r>
      <w:r>
        <w:rPr>
          <w:rFonts w:hint="eastAsia" w:ascii="Times New Roman" w:hAnsi="Times New Roman" w:eastAsia="仿宋_GB2312"/>
          <w:szCs w:val="32"/>
        </w:rPr>
        <w:t>0</w:t>
      </w:r>
      <w:r>
        <w:rPr>
          <w:rFonts w:ascii="Times New Roman" w:hAnsi="Times New Roman" w:eastAsia="仿宋_GB2312"/>
          <w:szCs w:val="32"/>
        </w:rPr>
        <w:t>个，</w:t>
      </w:r>
      <w:r>
        <w:rPr>
          <w:rFonts w:hint="eastAsia" w:ascii="Times New Roman" w:hAnsi="Times New Roman" w:eastAsia="仿宋_GB2312"/>
          <w:szCs w:val="32"/>
        </w:rPr>
        <w:t>0</w:t>
      </w:r>
      <w:r>
        <w:rPr>
          <w:rFonts w:ascii="Times New Roman" w:hAnsi="Times New Roman" w:eastAsia="仿宋_GB2312"/>
          <w:szCs w:val="32"/>
        </w:rPr>
        <w:t>人次，</w:t>
      </w:r>
      <w:r>
        <w:rPr>
          <w:rFonts w:ascii="Times New Roman" w:hAnsi="Times New Roman" w:eastAsia="仿宋_GB2312"/>
          <w:color w:val="000000"/>
          <w:kern w:val="0"/>
          <w:szCs w:val="32"/>
        </w:rPr>
        <w:t>预算为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万元，完成预算的</w:t>
      </w:r>
      <w:r>
        <w:rPr>
          <w:rFonts w:hint="eastAsia" w:ascii="Times New Roman" w:hAnsi="Times New Roman" w:eastAsia="仿宋_GB2312"/>
          <w:color w:val="000000"/>
          <w:kern w:val="0"/>
          <w:szCs w:val="32"/>
        </w:rPr>
        <w:t>100</w:t>
      </w:r>
      <w:r>
        <w:rPr>
          <w:rFonts w:ascii="Times New Roman" w:hAnsi="Times New Roman" w:eastAsia="仿宋_GB2312"/>
          <w:color w:val="000000"/>
          <w:kern w:val="0"/>
          <w:szCs w:val="32"/>
        </w:rPr>
        <w:t>%，决算数</w:t>
      </w:r>
      <w:r>
        <w:rPr>
          <w:rFonts w:hint="eastAsia" w:ascii="Times New Roman" w:hAnsi="Times New Roman" w:eastAsia="仿宋_GB2312"/>
          <w:color w:val="000000"/>
          <w:kern w:val="0"/>
          <w:szCs w:val="32"/>
        </w:rPr>
        <w:t>与</w:t>
      </w:r>
      <w:r>
        <w:rPr>
          <w:rFonts w:ascii="Times New Roman" w:hAnsi="Times New Roman" w:eastAsia="仿宋_GB2312"/>
          <w:color w:val="000000"/>
          <w:kern w:val="0"/>
          <w:szCs w:val="32"/>
        </w:rPr>
        <w:t>预算数</w:t>
      </w:r>
      <w:r>
        <w:rPr>
          <w:rFonts w:hint="eastAsia" w:ascii="Times New Roman" w:hAnsi="Times New Roman" w:eastAsia="仿宋_GB2312"/>
          <w:color w:val="000000"/>
          <w:kern w:val="0"/>
          <w:szCs w:val="32"/>
        </w:rPr>
        <w:t>一致</w:t>
      </w:r>
      <w:r>
        <w:rPr>
          <w:rFonts w:ascii="Times New Roman" w:hAnsi="Times New Roman" w:eastAsia="仿宋_GB2312"/>
          <w:color w:val="000000"/>
          <w:kern w:val="0"/>
          <w:szCs w:val="32"/>
        </w:rPr>
        <w:t>。</w:t>
      </w:r>
    </w:p>
    <w:p w14:paraId="624B6026">
      <w:pPr>
        <w:spacing w:line="576" w:lineRule="exact"/>
        <w:ind w:firstLine="643" w:firstLineChars="200"/>
        <w:rPr>
          <w:rFonts w:ascii="Times New Roman" w:hAnsi="Times New Roman" w:eastAsia="仿宋_GB2312"/>
          <w:b/>
          <w:bCs/>
          <w:szCs w:val="32"/>
        </w:rPr>
      </w:pPr>
      <w:r>
        <w:rPr>
          <w:rFonts w:ascii="Times New Roman" w:hAnsi="Times New Roman" w:eastAsia="仿宋_GB2312"/>
          <w:b/>
          <w:bCs/>
          <w:szCs w:val="32"/>
        </w:rPr>
        <w:t>2.公务用车购置费用支出情况</w:t>
      </w:r>
      <w:r>
        <w:rPr>
          <w:rFonts w:ascii="Times New Roman" w:hAnsi="Times New Roman" w:eastAsia="楷体_GB2312"/>
          <w:b/>
          <w:color w:val="000000"/>
          <w:kern w:val="0"/>
          <w:szCs w:val="32"/>
        </w:rPr>
        <w:t>说明</w:t>
      </w:r>
      <w:r>
        <w:rPr>
          <w:rFonts w:ascii="Times New Roman" w:hAnsi="Times New Roman" w:eastAsia="仿宋_GB2312"/>
          <w:b/>
          <w:bCs/>
          <w:szCs w:val="32"/>
        </w:rPr>
        <w:t>。</w:t>
      </w:r>
    </w:p>
    <w:p w14:paraId="756D715F">
      <w:pPr>
        <w:widowControl/>
        <w:spacing w:line="576" w:lineRule="exact"/>
        <w:ind w:firstLine="640" w:firstLineChars="200"/>
        <w:rPr>
          <w:rFonts w:ascii="Times New Roman" w:hAnsi="Times New Roman"/>
        </w:rPr>
      </w:pPr>
      <w:r>
        <w:rPr>
          <w:rFonts w:ascii="Times New Roman" w:hAnsi="Times New Roman" w:eastAsia="仿宋_GB2312"/>
          <w:szCs w:val="32"/>
        </w:rPr>
        <w:t>2019年度购置车辆</w:t>
      </w:r>
      <w:r>
        <w:rPr>
          <w:rFonts w:hint="eastAsia" w:ascii="Times New Roman" w:hAnsi="Times New Roman" w:eastAsia="仿宋_GB2312"/>
          <w:szCs w:val="32"/>
        </w:rPr>
        <w:t>0</w:t>
      </w:r>
      <w:r>
        <w:rPr>
          <w:rFonts w:ascii="Times New Roman" w:hAnsi="Times New Roman" w:eastAsia="仿宋_GB2312"/>
          <w:szCs w:val="32"/>
        </w:rPr>
        <w:t>台，</w:t>
      </w:r>
      <w:r>
        <w:rPr>
          <w:rFonts w:ascii="Times New Roman" w:hAnsi="Times New Roman" w:eastAsia="仿宋_GB2312"/>
          <w:color w:val="000000"/>
          <w:kern w:val="0"/>
          <w:szCs w:val="32"/>
        </w:rPr>
        <w:t>预算为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万元，完成预算的</w:t>
      </w:r>
      <w:r>
        <w:rPr>
          <w:rFonts w:hint="eastAsia" w:ascii="Times New Roman" w:hAnsi="Times New Roman" w:eastAsia="仿宋_GB2312"/>
          <w:color w:val="000000"/>
          <w:kern w:val="0"/>
          <w:szCs w:val="32"/>
        </w:rPr>
        <w:t>100</w:t>
      </w:r>
      <w:r>
        <w:rPr>
          <w:rFonts w:ascii="Times New Roman" w:hAnsi="Times New Roman" w:eastAsia="仿宋_GB2312"/>
          <w:color w:val="000000"/>
          <w:kern w:val="0"/>
          <w:szCs w:val="32"/>
        </w:rPr>
        <w:t>%，决算数</w:t>
      </w:r>
      <w:r>
        <w:rPr>
          <w:rFonts w:hint="eastAsia" w:ascii="Times New Roman" w:hAnsi="Times New Roman" w:eastAsia="仿宋_GB2312"/>
          <w:color w:val="000000"/>
          <w:kern w:val="0"/>
          <w:szCs w:val="32"/>
        </w:rPr>
        <w:t>与</w:t>
      </w:r>
      <w:r>
        <w:rPr>
          <w:rFonts w:ascii="Times New Roman" w:hAnsi="Times New Roman" w:eastAsia="仿宋_GB2312"/>
          <w:color w:val="000000"/>
          <w:kern w:val="0"/>
          <w:szCs w:val="32"/>
        </w:rPr>
        <w:t>预算数</w:t>
      </w:r>
      <w:r>
        <w:rPr>
          <w:rFonts w:hint="eastAsia" w:ascii="Times New Roman" w:hAnsi="Times New Roman" w:eastAsia="仿宋_GB2312"/>
          <w:color w:val="000000"/>
          <w:kern w:val="0"/>
          <w:szCs w:val="32"/>
        </w:rPr>
        <w:t>一致</w:t>
      </w:r>
      <w:r>
        <w:rPr>
          <w:rFonts w:ascii="Times New Roman" w:hAnsi="Times New Roman" w:eastAsia="仿宋_GB2312"/>
          <w:color w:val="000000"/>
          <w:kern w:val="0"/>
          <w:szCs w:val="32"/>
        </w:rPr>
        <w:t>。</w:t>
      </w:r>
    </w:p>
    <w:p w14:paraId="73EA9791">
      <w:pPr>
        <w:spacing w:line="576" w:lineRule="exact"/>
        <w:ind w:firstLine="643" w:firstLineChars="200"/>
        <w:rPr>
          <w:rFonts w:ascii="Times New Roman" w:hAnsi="Times New Roman" w:eastAsia="仿宋_GB2312"/>
          <w:b/>
          <w:bCs/>
          <w:szCs w:val="32"/>
        </w:rPr>
      </w:pPr>
      <w:r>
        <w:rPr>
          <w:rFonts w:ascii="Times New Roman" w:hAnsi="Times New Roman" w:eastAsia="仿宋_GB2312"/>
          <w:b/>
          <w:bCs/>
          <w:szCs w:val="32"/>
        </w:rPr>
        <w:t>3.公务用车运行维护费用支出情况</w:t>
      </w:r>
      <w:r>
        <w:rPr>
          <w:rFonts w:ascii="Times New Roman" w:hAnsi="Times New Roman" w:eastAsia="楷体_GB2312"/>
          <w:b/>
          <w:color w:val="000000"/>
          <w:kern w:val="0"/>
          <w:szCs w:val="32"/>
        </w:rPr>
        <w:t>说明</w:t>
      </w:r>
      <w:r>
        <w:rPr>
          <w:rFonts w:ascii="Times New Roman" w:hAnsi="Times New Roman" w:eastAsia="仿宋_GB2312"/>
          <w:b/>
          <w:bCs/>
          <w:szCs w:val="32"/>
        </w:rPr>
        <w:t>。</w:t>
      </w:r>
    </w:p>
    <w:p w14:paraId="606720B4">
      <w:pPr>
        <w:widowControl/>
        <w:spacing w:line="576" w:lineRule="exact"/>
        <w:ind w:firstLine="640" w:firstLineChars="200"/>
        <w:rPr>
          <w:rFonts w:ascii="Times New Roman" w:hAnsi="Times New Roman" w:eastAsia="仿宋_GB2312"/>
          <w:color w:val="000000"/>
          <w:kern w:val="0"/>
          <w:szCs w:val="32"/>
        </w:rPr>
      </w:pPr>
      <w:r>
        <w:rPr>
          <w:rFonts w:ascii="Times New Roman" w:hAnsi="Times New Roman" w:eastAsia="仿宋_GB2312"/>
          <w:color w:val="000000"/>
          <w:kern w:val="0"/>
          <w:szCs w:val="32"/>
        </w:rPr>
        <w:t>2019年度公务用车运行维护费预算为</w:t>
      </w:r>
      <w:r>
        <w:rPr>
          <w:rFonts w:hint="eastAsia" w:ascii="Times New Roman" w:hAnsi="Times New Roman" w:eastAsia="仿宋_GB2312"/>
          <w:color w:val="000000"/>
          <w:kern w:val="0"/>
          <w:szCs w:val="32"/>
        </w:rPr>
        <w:t>10.8</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6.61</w:t>
      </w:r>
      <w:r>
        <w:rPr>
          <w:rFonts w:ascii="Times New Roman" w:hAnsi="Times New Roman" w:eastAsia="仿宋_GB2312"/>
          <w:color w:val="000000"/>
          <w:kern w:val="0"/>
          <w:szCs w:val="32"/>
        </w:rPr>
        <w:t>万元，完成预算的</w:t>
      </w:r>
      <w:r>
        <w:rPr>
          <w:rFonts w:hint="eastAsia" w:ascii="Times New Roman" w:hAnsi="Times New Roman" w:eastAsia="仿宋_GB2312"/>
          <w:color w:val="000000"/>
          <w:kern w:val="0"/>
          <w:szCs w:val="32"/>
        </w:rPr>
        <w:t>61</w:t>
      </w:r>
      <w:r>
        <w:rPr>
          <w:rFonts w:ascii="Times New Roman" w:hAnsi="Times New Roman" w:eastAsia="仿宋_GB2312"/>
          <w:color w:val="000000"/>
          <w:kern w:val="0"/>
          <w:szCs w:val="32"/>
        </w:rPr>
        <w:t>%，</w:t>
      </w:r>
      <w:r>
        <w:rPr>
          <w:rFonts w:hint="eastAsia" w:ascii="Times New Roman" w:hAnsi="Times New Roman" w:eastAsia="仿宋_GB2312"/>
          <w:color w:val="000000"/>
          <w:kern w:val="0"/>
          <w:szCs w:val="32"/>
        </w:rPr>
        <w:t>决算数较预算数减少4.19万元，主要原因是规范公车运行</w:t>
      </w:r>
      <w:r>
        <w:rPr>
          <w:rFonts w:ascii="Times New Roman" w:hAnsi="Times New Roman" w:eastAsia="仿宋_GB2312"/>
          <w:color w:val="000000"/>
          <w:kern w:val="0"/>
          <w:szCs w:val="32"/>
        </w:rPr>
        <w:t>。</w:t>
      </w:r>
    </w:p>
    <w:p w14:paraId="556DE035">
      <w:pPr>
        <w:widowControl/>
        <w:spacing w:line="576" w:lineRule="exact"/>
        <w:ind w:firstLine="643" w:firstLineChars="200"/>
        <w:rPr>
          <w:rFonts w:ascii="Times New Roman" w:hAnsi="Times New Roman" w:eastAsia="仿宋_GB2312"/>
          <w:szCs w:val="32"/>
        </w:rPr>
      </w:pPr>
      <w:r>
        <w:rPr>
          <w:rFonts w:ascii="Times New Roman" w:hAnsi="Times New Roman" w:eastAsia="仿宋_GB2312"/>
          <w:b/>
          <w:bCs/>
          <w:szCs w:val="32"/>
        </w:rPr>
        <w:t>4.公务接待费支出情况</w:t>
      </w:r>
      <w:r>
        <w:rPr>
          <w:rFonts w:ascii="Times New Roman" w:hAnsi="Times New Roman" w:eastAsia="楷体_GB2312"/>
          <w:b/>
          <w:color w:val="000000"/>
          <w:kern w:val="0"/>
          <w:szCs w:val="32"/>
        </w:rPr>
        <w:t>说明</w:t>
      </w:r>
      <w:r>
        <w:rPr>
          <w:rFonts w:ascii="Times New Roman" w:hAnsi="Times New Roman" w:eastAsia="仿宋_GB2312"/>
          <w:b/>
          <w:bCs/>
          <w:szCs w:val="32"/>
        </w:rPr>
        <w:t>。</w:t>
      </w:r>
    </w:p>
    <w:p w14:paraId="4D258AB0">
      <w:pPr>
        <w:widowControl/>
        <w:spacing w:line="576" w:lineRule="exact"/>
        <w:ind w:firstLine="640" w:firstLineChars="200"/>
        <w:rPr>
          <w:rFonts w:ascii="Times New Roman" w:hAnsi="Times New Roman" w:eastAsia="仿宋_GB2312"/>
          <w:color w:val="000000"/>
          <w:kern w:val="0"/>
          <w:szCs w:val="32"/>
        </w:rPr>
      </w:pPr>
      <w:r>
        <w:rPr>
          <w:rFonts w:ascii="Times New Roman" w:hAnsi="Times New Roman" w:eastAsia="仿宋_GB2312"/>
          <w:szCs w:val="32"/>
        </w:rPr>
        <w:t>2019年度公务接待</w:t>
      </w:r>
      <w:r>
        <w:rPr>
          <w:rFonts w:hint="eastAsia" w:ascii="Times New Roman" w:hAnsi="Times New Roman" w:eastAsia="仿宋_GB2312"/>
          <w:szCs w:val="32"/>
        </w:rPr>
        <w:t>0</w:t>
      </w:r>
      <w:r>
        <w:rPr>
          <w:rFonts w:ascii="Times New Roman" w:hAnsi="Times New Roman" w:eastAsia="仿宋_GB2312"/>
          <w:szCs w:val="32"/>
        </w:rPr>
        <w:t>批次，</w:t>
      </w:r>
      <w:r>
        <w:rPr>
          <w:rFonts w:hint="eastAsia" w:ascii="Times New Roman" w:hAnsi="Times New Roman" w:eastAsia="仿宋_GB2312"/>
          <w:szCs w:val="32"/>
        </w:rPr>
        <w:t>0</w:t>
      </w:r>
      <w:r>
        <w:rPr>
          <w:rFonts w:ascii="Times New Roman" w:hAnsi="Times New Roman" w:eastAsia="仿宋_GB2312"/>
          <w:szCs w:val="32"/>
        </w:rPr>
        <w:t>人次，</w:t>
      </w:r>
      <w:r>
        <w:rPr>
          <w:rFonts w:ascii="Times New Roman" w:hAnsi="Times New Roman" w:eastAsia="仿宋_GB2312"/>
          <w:color w:val="000000"/>
          <w:kern w:val="0"/>
          <w:szCs w:val="32"/>
        </w:rPr>
        <w:t>预算为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万元，完成预算的</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w:t>
      </w:r>
      <w:r>
        <w:rPr>
          <w:rFonts w:hint="eastAsia" w:ascii="Times New Roman" w:hAnsi="Times New Roman" w:eastAsia="仿宋_GB2312"/>
          <w:color w:val="000000"/>
          <w:kern w:val="0"/>
          <w:szCs w:val="32"/>
        </w:rPr>
        <w:t>决算数较预算数减少0.44万元，主要原因是无公务接待情况。</w:t>
      </w:r>
    </w:p>
    <w:p w14:paraId="695F3391">
      <w:pPr>
        <w:widowControl/>
        <w:spacing w:line="576" w:lineRule="exact"/>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（三）培训费支出情况说明。</w:t>
      </w:r>
    </w:p>
    <w:p w14:paraId="646EDAE6">
      <w:pPr>
        <w:widowControl/>
        <w:spacing w:line="576" w:lineRule="exact"/>
        <w:ind w:firstLine="640" w:firstLineChars="200"/>
        <w:rPr>
          <w:rFonts w:ascii="Times New Roman" w:hAnsi="Times New Roman" w:eastAsia="仿宋_GB2312"/>
          <w:color w:val="000000"/>
          <w:kern w:val="0"/>
          <w:szCs w:val="32"/>
        </w:rPr>
      </w:pPr>
      <w:r>
        <w:rPr>
          <w:rFonts w:ascii="Times New Roman" w:hAnsi="Times New Roman" w:eastAsia="仿宋_GB2312"/>
          <w:szCs w:val="32"/>
        </w:rPr>
        <w:t>2019年度培训费</w:t>
      </w:r>
      <w:r>
        <w:rPr>
          <w:rFonts w:ascii="Times New Roman" w:hAnsi="Times New Roman" w:eastAsia="仿宋_GB2312"/>
          <w:color w:val="000000"/>
          <w:kern w:val="0"/>
          <w:szCs w:val="32"/>
        </w:rPr>
        <w:t>预算为</w:t>
      </w:r>
      <w:r>
        <w:rPr>
          <w:rFonts w:hint="eastAsia" w:ascii="Times New Roman" w:hAnsi="Times New Roman" w:eastAsia="仿宋_GB2312"/>
          <w:color w:val="000000"/>
          <w:kern w:val="0"/>
          <w:szCs w:val="32"/>
        </w:rPr>
        <w:t>2</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30.7</w:t>
      </w:r>
      <w:r>
        <w:rPr>
          <w:rFonts w:ascii="Times New Roman" w:hAnsi="Times New Roman" w:eastAsia="仿宋_GB2312"/>
          <w:color w:val="000000"/>
          <w:kern w:val="0"/>
          <w:szCs w:val="32"/>
        </w:rPr>
        <w:t>万元，完成预算的</w:t>
      </w:r>
      <w:r>
        <w:rPr>
          <w:rFonts w:hint="eastAsia" w:ascii="Times New Roman" w:hAnsi="Times New Roman" w:eastAsia="仿宋_GB2312"/>
          <w:color w:val="000000"/>
          <w:kern w:val="0"/>
          <w:szCs w:val="32"/>
        </w:rPr>
        <w:t>1500</w:t>
      </w:r>
      <w:r>
        <w:rPr>
          <w:rFonts w:ascii="Times New Roman" w:hAnsi="Times New Roman" w:eastAsia="仿宋_GB2312"/>
          <w:color w:val="000000"/>
          <w:kern w:val="0"/>
          <w:szCs w:val="32"/>
        </w:rPr>
        <w:t>%，决算数</w:t>
      </w:r>
      <w:r>
        <w:rPr>
          <w:rFonts w:hint="eastAsia" w:ascii="Times New Roman" w:hAnsi="Times New Roman" w:eastAsia="仿宋_GB2312"/>
          <w:color w:val="000000"/>
          <w:kern w:val="0"/>
          <w:szCs w:val="32"/>
        </w:rPr>
        <w:t>较预算数增加28.7万元，主要原因是组织人大代表外出培训2次</w:t>
      </w:r>
      <w:r>
        <w:rPr>
          <w:rFonts w:ascii="Times New Roman" w:hAnsi="Times New Roman" w:eastAsia="仿宋_GB2312"/>
          <w:color w:val="000000"/>
          <w:kern w:val="0"/>
          <w:szCs w:val="32"/>
        </w:rPr>
        <w:t>。</w:t>
      </w:r>
    </w:p>
    <w:p w14:paraId="52D00145">
      <w:pPr>
        <w:widowControl/>
        <w:spacing w:line="576" w:lineRule="exact"/>
        <w:rPr>
          <w:rFonts w:ascii="Times New Roman" w:hAnsi="Times New Roman" w:eastAsia="楷体_GB2312"/>
          <w:b/>
          <w:color w:val="000000"/>
          <w:kern w:val="0"/>
          <w:szCs w:val="32"/>
        </w:rPr>
      </w:pPr>
      <w:r>
        <w:rPr>
          <w:rFonts w:ascii="Times New Roman" w:hAnsi="Times New Roman" w:eastAsia="楷体_GB2312"/>
          <w:b/>
          <w:color w:val="000000"/>
          <w:kern w:val="0"/>
          <w:szCs w:val="32"/>
        </w:rPr>
        <w:t>（四）会议费支出情况说明。</w:t>
      </w:r>
    </w:p>
    <w:p w14:paraId="7919BD6F">
      <w:pPr>
        <w:widowControl/>
        <w:spacing w:line="576" w:lineRule="exact"/>
        <w:ind w:firstLine="640" w:firstLineChars="200"/>
        <w:rPr>
          <w:rFonts w:ascii="Times New Roman" w:hAnsi="Times New Roman" w:eastAsia="仿宋_GB2312"/>
          <w:color w:val="000000"/>
          <w:kern w:val="0"/>
          <w:szCs w:val="32"/>
        </w:rPr>
      </w:pPr>
      <w:r>
        <w:rPr>
          <w:rFonts w:ascii="Times New Roman" w:hAnsi="Times New Roman" w:eastAsia="仿宋_GB2312"/>
          <w:szCs w:val="32"/>
        </w:rPr>
        <w:t>2019年度会议费</w:t>
      </w:r>
      <w:r>
        <w:rPr>
          <w:rFonts w:ascii="Times New Roman" w:hAnsi="Times New Roman" w:eastAsia="仿宋_GB2312"/>
          <w:color w:val="000000"/>
          <w:kern w:val="0"/>
          <w:szCs w:val="32"/>
        </w:rPr>
        <w:t>预算为</w:t>
      </w:r>
      <w:r>
        <w:rPr>
          <w:rFonts w:hint="eastAsia" w:ascii="Times New Roman" w:hAnsi="Times New Roman" w:eastAsia="仿宋_GB2312"/>
          <w:color w:val="000000"/>
          <w:kern w:val="0"/>
          <w:szCs w:val="32"/>
        </w:rPr>
        <w:t>103.16</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63.95</w:t>
      </w:r>
      <w:r>
        <w:rPr>
          <w:rFonts w:ascii="Times New Roman" w:hAnsi="Times New Roman" w:eastAsia="仿宋_GB2312"/>
          <w:color w:val="000000"/>
          <w:kern w:val="0"/>
          <w:szCs w:val="32"/>
        </w:rPr>
        <w:t>万元，完成预算的</w:t>
      </w:r>
      <w:r>
        <w:rPr>
          <w:rFonts w:hint="eastAsia" w:ascii="Times New Roman" w:hAnsi="Times New Roman" w:eastAsia="仿宋_GB2312"/>
          <w:color w:val="000000"/>
          <w:kern w:val="0"/>
          <w:szCs w:val="32"/>
        </w:rPr>
        <w:t>61</w:t>
      </w:r>
      <w:r>
        <w:rPr>
          <w:rFonts w:ascii="Times New Roman" w:hAnsi="Times New Roman" w:eastAsia="仿宋_GB2312"/>
          <w:color w:val="000000"/>
          <w:kern w:val="0"/>
          <w:szCs w:val="32"/>
        </w:rPr>
        <w:t>%，决算数</w:t>
      </w:r>
      <w:r>
        <w:rPr>
          <w:rFonts w:hint="eastAsia" w:ascii="Times New Roman" w:hAnsi="Times New Roman" w:eastAsia="仿宋_GB2312"/>
          <w:color w:val="000000"/>
          <w:kern w:val="0"/>
          <w:szCs w:val="32"/>
        </w:rPr>
        <w:t>较预算数减少39.21万元，主要原因是压缩会议费用</w:t>
      </w:r>
      <w:r>
        <w:rPr>
          <w:rFonts w:ascii="Times New Roman" w:hAnsi="Times New Roman" w:eastAsia="仿宋_GB2312"/>
          <w:color w:val="000000"/>
          <w:kern w:val="0"/>
          <w:szCs w:val="32"/>
        </w:rPr>
        <w:t>。</w:t>
      </w:r>
    </w:p>
    <w:p w14:paraId="72F36B21">
      <w:pPr>
        <w:widowControl/>
        <w:spacing w:line="576"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八、政府性基金预算财政拨款收入支出情况说明</w:t>
      </w:r>
    </w:p>
    <w:p w14:paraId="294E68D2">
      <w:pPr>
        <w:spacing w:line="576" w:lineRule="exact"/>
        <w:ind w:firstLine="640"/>
        <w:rPr>
          <w:rFonts w:ascii="Times New Roman" w:hAnsi="Times New Roman" w:eastAsia="仿宋_GB2312"/>
          <w:szCs w:val="32"/>
        </w:rPr>
      </w:pPr>
      <w:r>
        <w:rPr>
          <w:rFonts w:ascii="Times New Roman" w:hAnsi="Times New Roman" w:eastAsia="仿宋_GB2312"/>
          <w:szCs w:val="32"/>
        </w:rPr>
        <w:t>本部门无政府性基金决算收支，并已公开空表</w:t>
      </w:r>
      <w:r>
        <w:rPr>
          <w:rFonts w:hint="eastAsia" w:ascii="Times New Roman" w:hAnsi="Times New Roman" w:eastAsia="仿宋_GB2312"/>
          <w:szCs w:val="32"/>
        </w:rPr>
        <w:t>。</w:t>
      </w:r>
    </w:p>
    <w:p w14:paraId="0A481BC3">
      <w:pPr>
        <w:widowControl/>
        <w:spacing w:line="576"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九、国有资本经营财政拨款收入支出情况说明</w:t>
      </w:r>
    </w:p>
    <w:p w14:paraId="7B68C106">
      <w:pPr>
        <w:spacing w:line="576" w:lineRule="exact"/>
        <w:ind w:firstLine="640"/>
        <w:rPr>
          <w:rFonts w:ascii="Times New Roman" w:hAnsi="Times New Roman" w:eastAsia="仿宋_GB2312"/>
          <w:szCs w:val="32"/>
        </w:rPr>
      </w:pPr>
      <w:r>
        <w:rPr>
          <w:rFonts w:ascii="Times New Roman" w:hAnsi="Times New Roman" w:eastAsia="仿宋_GB2312"/>
          <w:szCs w:val="32"/>
        </w:rPr>
        <w:t>本部门无国有资本经营决算拨款收支</w:t>
      </w:r>
      <w:r>
        <w:rPr>
          <w:rFonts w:hint="eastAsia" w:ascii="Times New Roman" w:hAnsi="Times New Roman" w:eastAsia="仿宋_GB2312"/>
          <w:szCs w:val="32"/>
        </w:rPr>
        <w:t>。</w:t>
      </w:r>
    </w:p>
    <w:p w14:paraId="7294F425">
      <w:pPr>
        <w:widowControl/>
        <w:spacing w:line="576"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十、预算绩效情况说明</w:t>
      </w:r>
    </w:p>
    <w:p w14:paraId="4D940876">
      <w:pPr>
        <w:widowControl/>
        <w:spacing w:line="576" w:lineRule="exact"/>
        <w:ind w:left="1616" w:leftChars="304" w:hanging="643" w:hanging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（一）预算绩效管理工作开展情况说明。</w:t>
      </w:r>
    </w:p>
    <w:p w14:paraId="13DC57F9">
      <w:pPr>
        <w:widowControl/>
        <w:spacing w:line="576" w:lineRule="exact"/>
        <w:ind w:firstLine="640" w:firstLineChars="200"/>
        <w:rPr>
          <w:rFonts w:ascii="Times New Roman" w:hAnsi="Times New Roman" w:eastAsia="仿宋_GB2312"/>
          <w:color w:val="000000"/>
          <w:kern w:val="0"/>
          <w:sz w:val="31"/>
          <w:szCs w:val="31"/>
        </w:rPr>
      </w:pPr>
      <w:r>
        <w:rPr>
          <w:rFonts w:ascii="Times New Roman" w:hAnsi="Times New Roman" w:eastAsia="仿宋_GB2312"/>
          <w:szCs w:val="32"/>
        </w:rPr>
        <w:t>根据预算绩效管理要求，本部门组织对2019年一般公共预算</w:t>
      </w:r>
      <w:r>
        <w:rPr>
          <w:rFonts w:hint="eastAsia" w:ascii="Times New Roman" w:hAnsi="Times New Roman" w:eastAsia="仿宋_GB2312"/>
          <w:szCs w:val="32"/>
        </w:rPr>
        <w:t>1</w:t>
      </w:r>
      <w:r>
        <w:rPr>
          <w:rFonts w:ascii="Times New Roman" w:hAnsi="Times New Roman" w:eastAsia="仿宋_GB2312"/>
          <w:szCs w:val="32"/>
        </w:rPr>
        <w:t>个项目支出开展了绩效自评，共涉及资金</w:t>
      </w:r>
      <w:r>
        <w:rPr>
          <w:rFonts w:hint="eastAsia" w:ascii="Times New Roman" w:hAnsi="Times New Roman" w:eastAsia="仿宋_GB2312"/>
          <w:szCs w:val="32"/>
        </w:rPr>
        <w:t>63.9</w:t>
      </w:r>
      <w:r>
        <w:rPr>
          <w:rFonts w:ascii="Times New Roman" w:hAnsi="Times New Roman" w:eastAsia="仿宋_GB2312"/>
          <w:szCs w:val="32"/>
        </w:rPr>
        <w:t>万元，占一般公共预算项目支出总额的</w:t>
      </w:r>
      <w:r>
        <w:rPr>
          <w:rFonts w:hint="eastAsia" w:ascii="Times New Roman" w:hAnsi="Times New Roman" w:eastAsia="仿宋_GB2312"/>
          <w:szCs w:val="32"/>
        </w:rPr>
        <w:t>7</w:t>
      </w:r>
      <w:r>
        <w:rPr>
          <w:rFonts w:ascii="Times New Roman" w:hAnsi="Times New Roman" w:eastAsia="仿宋_GB2312"/>
          <w:szCs w:val="32"/>
        </w:rPr>
        <w:t>%</w:t>
      </w:r>
      <w:r>
        <w:rPr>
          <w:rFonts w:ascii="Times New Roman" w:hAnsi="Times New Roman" w:eastAsia="仿宋_GB2312"/>
          <w:color w:val="000000"/>
          <w:kern w:val="0"/>
          <w:sz w:val="31"/>
          <w:szCs w:val="31"/>
        </w:rPr>
        <w:t>。</w:t>
      </w:r>
    </w:p>
    <w:p w14:paraId="4D77102F">
      <w:pPr>
        <w:widowControl/>
        <w:spacing w:line="576" w:lineRule="exact"/>
        <w:ind w:firstLine="640" w:firstLineChars="200"/>
        <w:rPr>
          <w:rFonts w:ascii="Times New Roman" w:hAnsi="Times New Roman" w:eastAsia="仿宋_GB2312"/>
          <w:color w:val="000000"/>
          <w:kern w:val="0"/>
          <w:sz w:val="31"/>
          <w:szCs w:val="31"/>
        </w:rPr>
      </w:pPr>
      <w:r>
        <w:rPr>
          <w:rFonts w:ascii="Times New Roman" w:hAnsi="Times New Roman" w:eastAsia="仿宋_GB2312"/>
          <w:szCs w:val="32"/>
        </w:rPr>
        <w:t>本部门组织对2019年度部门整体进行了绩效自评，涉及资金</w:t>
      </w:r>
      <w:r>
        <w:rPr>
          <w:rFonts w:hint="eastAsia" w:ascii="Times New Roman" w:hAnsi="Times New Roman" w:eastAsia="仿宋_GB2312"/>
          <w:color w:val="000000"/>
          <w:kern w:val="0"/>
          <w:sz w:val="31"/>
          <w:szCs w:val="31"/>
        </w:rPr>
        <w:t>917.19</w:t>
      </w:r>
      <w:r>
        <w:rPr>
          <w:rFonts w:ascii="Times New Roman" w:hAnsi="Times New Roman" w:eastAsia="仿宋_GB2312"/>
          <w:szCs w:val="32"/>
        </w:rPr>
        <w:t>万元。</w:t>
      </w:r>
    </w:p>
    <w:p w14:paraId="45536C5A">
      <w:pPr>
        <w:widowControl/>
        <w:spacing w:line="576" w:lineRule="exact"/>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（二）部门决算中项目绩效自评结果。</w:t>
      </w:r>
    </w:p>
    <w:p w14:paraId="230406B2">
      <w:pPr>
        <w:widowControl/>
        <w:spacing w:line="576" w:lineRule="exact"/>
        <w:ind w:firstLine="620" w:firstLineChars="200"/>
        <w:rPr>
          <w:rFonts w:ascii="Times New Roman" w:hAnsi="Times New Roman" w:eastAsia="仿宋_GB2312"/>
          <w:color w:val="000000"/>
          <w:kern w:val="0"/>
          <w:sz w:val="31"/>
          <w:szCs w:val="31"/>
        </w:rPr>
      </w:pPr>
      <w:r>
        <w:rPr>
          <w:rFonts w:hint="eastAsia" w:ascii="Times New Roman" w:hAnsi="Times New Roman" w:eastAsia="仿宋_GB2312"/>
          <w:color w:val="000000"/>
          <w:kern w:val="0"/>
          <w:sz w:val="31"/>
          <w:szCs w:val="31"/>
        </w:rPr>
        <w:t>十七届人大四次会议会议费</w:t>
      </w:r>
      <w:r>
        <w:rPr>
          <w:rFonts w:ascii="Times New Roman" w:hAnsi="Times New Roman" w:eastAsia="仿宋_GB2312"/>
          <w:color w:val="000000"/>
          <w:kern w:val="0"/>
          <w:sz w:val="31"/>
          <w:szCs w:val="31"/>
        </w:rPr>
        <w:t>项目绩效自评综述：根据年初设定的绩效目标，项目自评得分</w:t>
      </w:r>
      <w:r>
        <w:rPr>
          <w:rFonts w:hint="eastAsia" w:ascii="Times New Roman" w:hAnsi="Times New Roman" w:eastAsia="仿宋_GB2312"/>
          <w:color w:val="000000"/>
          <w:kern w:val="0"/>
          <w:sz w:val="31"/>
          <w:szCs w:val="31"/>
        </w:rPr>
        <w:t>90</w:t>
      </w:r>
      <w:r>
        <w:rPr>
          <w:rFonts w:ascii="Times New Roman" w:hAnsi="Times New Roman" w:eastAsia="仿宋_GB2312"/>
          <w:color w:val="000000"/>
          <w:kern w:val="0"/>
          <w:sz w:val="31"/>
          <w:szCs w:val="31"/>
        </w:rPr>
        <w:t>分。项目全年预算数</w:t>
      </w:r>
      <w:r>
        <w:rPr>
          <w:rFonts w:hint="eastAsia" w:ascii="Times New Roman" w:hAnsi="Times New Roman" w:eastAsia="仿宋_GB2312"/>
          <w:color w:val="000000"/>
          <w:kern w:val="0"/>
          <w:sz w:val="31"/>
          <w:szCs w:val="31"/>
        </w:rPr>
        <w:t>100</w:t>
      </w:r>
      <w:r>
        <w:rPr>
          <w:rFonts w:ascii="Times New Roman" w:hAnsi="Times New Roman" w:eastAsia="仿宋_GB2312"/>
          <w:color w:val="000000"/>
          <w:kern w:val="0"/>
          <w:sz w:val="31"/>
          <w:szCs w:val="31"/>
        </w:rPr>
        <w:t xml:space="preserve">万元，执行数 </w:t>
      </w:r>
      <w:r>
        <w:rPr>
          <w:rFonts w:hint="eastAsia" w:ascii="Times New Roman" w:hAnsi="Times New Roman" w:eastAsia="仿宋_GB2312"/>
          <w:color w:val="000000"/>
          <w:kern w:val="0"/>
          <w:sz w:val="31"/>
          <w:szCs w:val="31"/>
        </w:rPr>
        <w:t>63.9</w:t>
      </w:r>
      <w:r>
        <w:rPr>
          <w:rFonts w:ascii="Times New Roman" w:hAnsi="Times New Roman" w:eastAsia="仿宋_GB2312"/>
          <w:color w:val="000000"/>
          <w:kern w:val="0"/>
          <w:sz w:val="31"/>
          <w:szCs w:val="31"/>
        </w:rPr>
        <w:t>万元，完成预算的</w:t>
      </w:r>
      <w:r>
        <w:rPr>
          <w:rFonts w:hint="eastAsia" w:ascii="Times New Roman" w:hAnsi="Times New Roman" w:eastAsia="仿宋_GB2312"/>
          <w:color w:val="000000"/>
          <w:kern w:val="0"/>
          <w:sz w:val="31"/>
          <w:szCs w:val="31"/>
        </w:rPr>
        <w:t>63.9</w:t>
      </w:r>
      <w:r>
        <w:rPr>
          <w:rFonts w:ascii="Times New Roman" w:hAnsi="Times New Roman" w:eastAsia="仿宋_GB2312"/>
          <w:color w:val="000000"/>
          <w:kern w:val="0"/>
          <w:sz w:val="31"/>
          <w:szCs w:val="31"/>
        </w:rPr>
        <w:t>%。</w:t>
      </w:r>
    </w:p>
    <w:p w14:paraId="666DB2AF">
      <w:pPr>
        <w:widowControl/>
        <w:spacing w:line="576" w:lineRule="exact"/>
        <w:ind w:firstLine="620" w:firstLineChars="200"/>
        <w:rPr>
          <w:rFonts w:ascii="Times New Roman" w:hAnsi="Times New Roman" w:eastAsia="仿宋_GB2312"/>
          <w:color w:val="000000"/>
          <w:kern w:val="0"/>
          <w:sz w:val="31"/>
          <w:szCs w:val="31"/>
        </w:rPr>
      </w:pPr>
      <w:r>
        <w:rPr>
          <w:rFonts w:ascii="Times New Roman" w:hAnsi="Times New Roman" w:eastAsia="仿宋_GB2312"/>
          <w:color w:val="000000"/>
          <w:kern w:val="0"/>
          <w:sz w:val="31"/>
          <w:szCs w:val="31"/>
        </w:rPr>
        <w:t>通过项目实施</w:t>
      </w:r>
      <w:r>
        <w:rPr>
          <w:rFonts w:hint="eastAsia" w:ascii="Times New Roman" w:hAnsi="Times New Roman" w:eastAsia="仿宋_GB2312"/>
          <w:color w:val="000000"/>
          <w:kern w:val="0"/>
          <w:sz w:val="31"/>
          <w:szCs w:val="31"/>
        </w:rPr>
        <w:t>，区十七届人大四次会议圆满完成了各项规定任务和议程，与会代表认真参会、审议各项报告，并积极建言献策，有效促进了全区的各项事业发展。</w:t>
      </w:r>
    </w:p>
    <w:p w14:paraId="7348DC96">
      <w:pPr>
        <w:widowControl/>
        <w:spacing w:line="576" w:lineRule="exact"/>
        <w:ind w:firstLine="620" w:firstLineChars="200"/>
        <w:rPr>
          <w:rFonts w:ascii="Times New Roman" w:hAnsi="Times New Roman" w:eastAsia="仿宋_GB2312"/>
          <w:color w:val="000000"/>
          <w:kern w:val="0"/>
          <w:sz w:val="31"/>
          <w:szCs w:val="31"/>
        </w:rPr>
      </w:pPr>
      <w:r>
        <w:rPr>
          <w:rFonts w:hint="eastAsia" w:ascii="Times New Roman" w:hAnsi="Times New Roman" w:eastAsia="仿宋_GB2312"/>
          <w:color w:val="000000"/>
          <w:kern w:val="0"/>
          <w:sz w:val="31"/>
          <w:szCs w:val="31"/>
        </w:rPr>
        <w:t>会议过程中，由于会议时间、地点、议程会有变动，导致会议费用年初预算不够准确，与预算实际执行数还存在一定差距。</w:t>
      </w:r>
      <w:r>
        <w:rPr>
          <w:rFonts w:ascii="Times New Roman" w:hAnsi="Times New Roman" w:eastAsia="仿宋_GB2312"/>
          <w:color w:val="000000"/>
          <w:kern w:val="0"/>
          <w:sz w:val="31"/>
          <w:szCs w:val="31"/>
        </w:rPr>
        <w:t>下一步</w:t>
      </w:r>
      <w:r>
        <w:rPr>
          <w:rFonts w:hint="eastAsia" w:ascii="Times New Roman" w:hAnsi="Times New Roman" w:eastAsia="仿宋_GB2312"/>
          <w:color w:val="000000"/>
          <w:kern w:val="0"/>
          <w:sz w:val="31"/>
          <w:szCs w:val="31"/>
        </w:rPr>
        <w:t>提前谋划，提高年初预算准确性。</w:t>
      </w:r>
    </w:p>
    <w:p w14:paraId="64D90291">
      <w:pPr>
        <w:widowControl/>
        <w:spacing w:line="576" w:lineRule="exact"/>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（三）部门决算中整体支出绩效自评结果。</w:t>
      </w:r>
    </w:p>
    <w:p w14:paraId="110AEF8A">
      <w:pPr>
        <w:widowControl/>
        <w:spacing w:line="576" w:lineRule="exact"/>
        <w:ind w:firstLine="620" w:firstLineChars="200"/>
        <w:rPr>
          <w:rFonts w:ascii="Times New Roman" w:hAnsi="Times New Roman" w:eastAsia="仿宋_GB2312"/>
          <w:color w:val="000000"/>
          <w:kern w:val="0"/>
          <w:sz w:val="31"/>
          <w:szCs w:val="31"/>
        </w:rPr>
      </w:pPr>
      <w:r>
        <w:rPr>
          <w:rFonts w:ascii="Times New Roman" w:hAnsi="Times New Roman" w:eastAsia="仿宋_GB2312"/>
          <w:color w:val="000000"/>
          <w:kern w:val="0"/>
          <w:sz w:val="31"/>
          <w:szCs w:val="31"/>
        </w:rPr>
        <w:t>根据年初设定的绩效目标，本部门整体2019年度整体自评得分</w:t>
      </w:r>
      <w:r>
        <w:rPr>
          <w:rFonts w:hint="eastAsia" w:ascii="Times New Roman" w:hAnsi="Times New Roman" w:eastAsia="仿宋_GB2312"/>
          <w:color w:val="000000"/>
          <w:kern w:val="0"/>
          <w:sz w:val="31"/>
          <w:szCs w:val="31"/>
        </w:rPr>
        <w:t>92.8</w:t>
      </w:r>
      <w:r>
        <w:rPr>
          <w:rFonts w:ascii="Times New Roman" w:hAnsi="Times New Roman" w:eastAsia="仿宋_GB2312"/>
          <w:color w:val="000000"/>
          <w:kern w:val="0"/>
          <w:sz w:val="31"/>
          <w:szCs w:val="31"/>
        </w:rPr>
        <w:t>分。全年预算数</w:t>
      </w:r>
      <w:r>
        <w:rPr>
          <w:rFonts w:hint="eastAsia" w:ascii="Times New Roman" w:hAnsi="Times New Roman" w:eastAsia="仿宋_GB2312"/>
          <w:color w:val="000000"/>
          <w:kern w:val="0"/>
          <w:sz w:val="31"/>
          <w:szCs w:val="31"/>
        </w:rPr>
        <w:t>561.68</w:t>
      </w:r>
      <w:r>
        <w:rPr>
          <w:rFonts w:ascii="Times New Roman" w:hAnsi="Times New Roman" w:eastAsia="仿宋_GB2312"/>
          <w:color w:val="000000"/>
          <w:kern w:val="0"/>
          <w:sz w:val="31"/>
          <w:szCs w:val="31"/>
        </w:rPr>
        <w:t>万元，执行数</w:t>
      </w:r>
      <w:r>
        <w:rPr>
          <w:rFonts w:hint="eastAsia" w:ascii="Times New Roman" w:hAnsi="Times New Roman" w:eastAsia="仿宋_GB2312"/>
          <w:color w:val="000000"/>
          <w:kern w:val="0"/>
          <w:sz w:val="31"/>
          <w:szCs w:val="31"/>
        </w:rPr>
        <w:t>917.19</w:t>
      </w:r>
      <w:r>
        <w:rPr>
          <w:rFonts w:ascii="Times New Roman" w:hAnsi="Times New Roman" w:eastAsia="仿宋_GB2312"/>
          <w:color w:val="000000"/>
          <w:kern w:val="0"/>
          <w:sz w:val="31"/>
          <w:szCs w:val="31"/>
        </w:rPr>
        <w:t>万元，完成预算的</w:t>
      </w:r>
      <w:r>
        <w:rPr>
          <w:rFonts w:hint="eastAsia" w:ascii="Times New Roman" w:hAnsi="Times New Roman" w:eastAsia="仿宋_GB2312"/>
          <w:color w:val="000000"/>
          <w:kern w:val="0"/>
          <w:sz w:val="31"/>
          <w:szCs w:val="31"/>
        </w:rPr>
        <w:t>163.3</w:t>
      </w:r>
      <w:r>
        <w:rPr>
          <w:rFonts w:ascii="Times New Roman" w:hAnsi="Times New Roman" w:eastAsia="仿宋_GB2312"/>
          <w:color w:val="000000"/>
          <w:kern w:val="0"/>
          <w:sz w:val="31"/>
          <w:szCs w:val="31"/>
        </w:rPr>
        <w:t>%。</w:t>
      </w:r>
    </w:p>
    <w:p w14:paraId="69112323">
      <w:pPr>
        <w:widowControl/>
        <w:spacing w:line="576" w:lineRule="exact"/>
        <w:ind w:firstLine="620" w:firstLineChars="200"/>
        <w:rPr>
          <w:rFonts w:ascii="Times New Roman" w:hAnsi="Times New Roman" w:eastAsia="仿宋_GB2312"/>
          <w:color w:val="000000"/>
          <w:kern w:val="0"/>
          <w:sz w:val="31"/>
          <w:szCs w:val="31"/>
        </w:rPr>
      </w:pPr>
      <w:r>
        <w:rPr>
          <w:rFonts w:hint="eastAsia" w:ascii="Times New Roman" w:hAnsi="Times New Roman" w:eastAsia="仿宋_GB2312"/>
          <w:color w:val="000000"/>
          <w:kern w:val="0"/>
          <w:sz w:val="31"/>
          <w:szCs w:val="31"/>
        </w:rPr>
        <w:t>2019年灞桥区人大常委会办公室以目标责任考核为抓手，较好的完成了年初制定的各项工作任务，在年底考核时获得优秀等次。</w:t>
      </w:r>
    </w:p>
    <w:p w14:paraId="57546CD8">
      <w:pPr>
        <w:widowControl/>
        <w:spacing w:line="576" w:lineRule="exact"/>
        <w:ind w:firstLine="620" w:firstLineChars="200"/>
        <w:rPr>
          <w:rFonts w:ascii="Times New Roman" w:hAnsi="Times New Roman" w:eastAsia="仿宋_GB2312"/>
          <w:color w:val="000000"/>
          <w:kern w:val="0"/>
          <w:sz w:val="31"/>
          <w:szCs w:val="31"/>
        </w:rPr>
      </w:pPr>
      <w:r>
        <w:rPr>
          <w:rFonts w:ascii="Times New Roman" w:hAnsi="Times New Roman" w:eastAsia="仿宋_GB2312"/>
          <w:color w:val="000000"/>
          <w:kern w:val="0"/>
          <w:sz w:val="31"/>
          <w:szCs w:val="31"/>
        </w:rPr>
        <w:t>主要工作绩效是：</w:t>
      </w:r>
      <w:r>
        <w:rPr>
          <w:rFonts w:hint="eastAsia" w:ascii="仿宋_GB2312" w:eastAsia="仿宋_GB2312"/>
          <w:szCs w:val="32"/>
        </w:rPr>
        <w:t>一年来，常委会高举中国特色社会主义伟大旗帜，全面贯彻党的十九大和十九届二中、三中、四中全会精神，深入学习贯彻习近平新时代中国特色社会主义思想，特别是习近平总书记关于坚持和完善人民代表大会制度的重要思想，坚持党的领导、人民当家作主、依法治国有机统一，认真行使宪法法律赋予的各项职权，为我区经济社会发展和民主法治建设作出了积极贡献。全年共召开常委会会议6次，主任会议13次，听取审议各类报告27项，开展专题询问2次，组织代表参与集中视察、专题调研、检查活动128人次，较好地</w:t>
      </w:r>
      <w:r>
        <w:rPr>
          <w:rFonts w:ascii="仿宋_GB2312" w:eastAsia="仿宋_GB2312"/>
          <w:szCs w:val="32"/>
        </w:rPr>
        <w:t>完成了</w:t>
      </w:r>
      <w:r>
        <w:rPr>
          <w:rFonts w:hint="eastAsia" w:ascii="仿宋_GB2312" w:eastAsia="仿宋_GB2312"/>
          <w:szCs w:val="32"/>
        </w:rPr>
        <w:t>区十七</w:t>
      </w:r>
      <w:r>
        <w:rPr>
          <w:rFonts w:ascii="仿宋_GB2312" w:eastAsia="仿宋_GB2312"/>
          <w:szCs w:val="32"/>
        </w:rPr>
        <w:t>届人大</w:t>
      </w:r>
      <w:r>
        <w:rPr>
          <w:rFonts w:hint="eastAsia" w:ascii="仿宋_GB2312" w:eastAsia="仿宋_GB2312"/>
          <w:szCs w:val="32"/>
        </w:rPr>
        <w:t>四</w:t>
      </w:r>
      <w:r>
        <w:rPr>
          <w:rFonts w:ascii="仿宋_GB2312" w:eastAsia="仿宋_GB2312"/>
          <w:szCs w:val="32"/>
        </w:rPr>
        <w:t>次会议确定的各项任务</w:t>
      </w:r>
      <w:r>
        <w:rPr>
          <w:rFonts w:hint="eastAsia" w:ascii="仿宋_GB2312" w:eastAsia="仿宋_GB2312"/>
          <w:szCs w:val="32"/>
        </w:rPr>
        <w:t>。</w:t>
      </w:r>
    </w:p>
    <w:p w14:paraId="7A24D881">
      <w:pPr>
        <w:spacing w:line="556" w:lineRule="exact"/>
        <w:ind w:firstLine="607" w:firstLineChars="196"/>
        <w:rPr>
          <w:rFonts w:ascii="仿宋_GB2312" w:eastAsia="仿宋_GB2312"/>
          <w:b/>
          <w:szCs w:val="32"/>
        </w:rPr>
      </w:pPr>
      <w:r>
        <w:rPr>
          <w:rFonts w:ascii="Times New Roman" w:hAnsi="Times New Roman" w:eastAsia="仿宋_GB2312"/>
          <w:color w:val="000000"/>
          <w:kern w:val="0"/>
          <w:sz w:val="31"/>
          <w:szCs w:val="31"/>
        </w:rPr>
        <w:t>发现的问题及原因：</w:t>
      </w:r>
      <w:r>
        <w:rPr>
          <w:rFonts w:hint="eastAsia" w:ascii="仿宋_GB2312" w:eastAsia="仿宋_GB2312"/>
          <w:szCs w:val="32"/>
        </w:rPr>
        <w:t>2019年在制定预算计划后,达到了预期绩效目标，但由于一些工作要求的变动，导致预算的追加和部分预算的未使用，在调剂后，整体预算执行完成率100%。</w:t>
      </w:r>
    </w:p>
    <w:p w14:paraId="423D845C">
      <w:pPr>
        <w:spacing w:line="556" w:lineRule="exact"/>
        <w:rPr>
          <w:rFonts w:ascii="仿宋_GB2312" w:eastAsia="仿宋_GB2312"/>
          <w:b/>
          <w:szCs w:val="32"/>
        </w:rPr>
      </w:pPr>
      <w:r>
        <w:rPr>
          <w:rFonts w:hint="eastAsia" w:ascii="仿宋_GB2312" w:eastAsia="仿宋_GB2312"/>
          <w:szCs w:val="32"/>
        </w:rPr>
        <w:t>能够按照上级财政部门和相关法律规定的要求严格执行财务管理制度，在财务支出方面严格履行相关手续，做到每一笔支出都有据可查，但是对财务的要求和普及方面还有提升空间。固定资产卡片信息不够完整。财政系统内固定资产卡片大部分没有填写使用部门、管理部门，没有填写使用人和存放地点。</w:t>
      </w:r>
    </w:p>
    <w:p w14:paraId="7A5DD2E1">
      <w:pPr>
        <w:spacing w:line="556" w:lineRule="exact"/>
        <w:ind w:firstLine="620" w:firstLineChars="200"/>
        <w:rPr>
          <w:rFonts w:ascii="仿宋_GB2312" w:eastAsia="仿宋_GB2312"/>
          <w:szCs w:val="32"/>
        </w:rPr>
      </w:pPr>
      <w:r>
        <w:rPr>
          <w:rFonts w:ascii="Times New Roman" w:hAnsi="Times New Roman" w:eastAsia="仿宋_GB2312"/>
          <w:color w:val="000000"/>
          <w:kern w:val="0"/>
          <w:sz w:val="31"/>
          <w:szCs w:val="31"/>
        </w:rPr>
        <w:t>下一步</w:t>
      </w:r>
      <w:r>
        <w:rPr>
          <w:rFonts w:hint="eastAsia" w:ascii="Times New Roman" w:hAnsi="Times New Roman" w:eastAsia="仿宋_GB2312"/>
          <w:color w:val="000000"/>
          <w:kern w:val="0"/>
          <w:sz w:val="31"/>
          <w:szCs w:val="31"/>
        </w:rPr>
        <w:t>，</w:t>
      </w:r>
      <w:r>
        <w:rPr>
          <w:rFonts w:hint="eastAsia" w:ascii="仿宋_GB2312" w:eastAsia="仿宋_GB2312"/>
          <w:szCs w:val="32"/>
        </w:rPr>
        <w:t>针对评价中发现的问题，制定预算时，需进一步了解来年工作安排，细化预算项目，充分考虑预算项目间的科学性和合理性。严格履行财务报账、支出等手续，进一步加大财务要求的普及和宣传。补充固定资产卡片信息，由实际使用人管理领用固定资产。年末盘点时逐个进行盘点，与行政事业单位资产管理信息系统固定资产卡片一一对应，并及时更新和报废。</w:t>
      </w:r>
    </w:p>
    <w:p w14:paraId="5C6B487F">
      <w:pPr>
        <w:spacing w:line="556" w:lineRule="exact"/>
        <w:ind w:firstLine="640" w:firstLineChars="200"/>
        <w:rPr>
          <w:rFonts w:ascii="仿宋_GB2312" w:eastAsia="仿宋_GB2312"/>
          <w:szCs w:val="32"/>
        </w:rPr>
      </w:pPr>
    </w:p>
    <w:p w14:paraId="49894E7E">
      <w:pPr>
        <w:rPr>
          <w:rFonts w:ascii="Times New Roman" w:hAnsi="Times New Roman" w:eastAsia="黑体"/>
          <w:color w:val="000000"/>
          <w:kern w:val="0"/>
          <w:szCs w:val="32"/>
        </w:rPr>
      </w:pPr>
    </w:p>
    <w:p w14:paraId="0B98AA24">
      <w:pPr>
        <w:rPr>
          <w:rFonts w:ascii="Times New Roman" w:hAnsi="Times New Roman" w:eastAsia="黑体"/>
          <w:color w:val="000000"/>
          <w:kern w:val="0"/>
          <w:szCs w:val="32"/>
        </w:rPr>
        <w:sectPr>
          <w:footerReference r:id="rId3" w:type="default"/>
          <w:footerReference r:id="rId4" w:type="even"/>
          <w:pgSz w:w="11906" w:h="16838"/>
          <w:pgMar w:top="1440" w:right="1800" w:bottom="1440" w:left="1800" w:header="851" w:footer="992" w:gutter="0"/>
          <w:cols w:space="425" w:num="1"/>
          <w:docGrid w:type="lines" w:linePitch="435" w:charSpace="0"/>
        </w:sectPr>
      </w:pPr>
    </w:p>
    <w:p w14:paraId="51A417E4">
      <w:pPr>
        <w:ind w:firstLine="640" w:firstLineChars="200"/>
        <w:rPr>
          <w:rFonts w:ascii="Times New Roman" w:hAnsi="Times New Roman" w:eastAsia="黑体"/>
          <w:szCs w:val="32"/>
        </w:rPr>
      </w:pPr>
      <w:r>
        <w:rPr>
          <w:rFonts w:ascii="Times New Roman" w:hAnsi="Times New Roman" w:eastAsia="黑体"/>
          <w:color w:val="000000"/>
          <w:kern w:val="0"/>
          <w:szCs w:val="32"/>
        </w:rPr>
        <w:t>十一、其他重要事项说明</w:t>
      </w:r>
    </w:p>
    <w:p w14:paraId="09D4F2FF">
      <w:pPr>
        <w:widowControl/>
        <w:ind w:firstLine="643" w:firstLineChars="200"/>
        <w:rPr>
          <w:rFonts w:ascii="Times New Roman" w:hAnsi="Times New Roman"/>
        </w:rPr>
      </w:pPr>
      <w:r>
        <w:rPr>
          <w:rFonts w:ascii="Times New Roman" w:hAnsi="Times New Roman" w:eastAsia="楷体_GB2312"/>
          <w:b/>
          <w:color w:val="000000"/>
          <w:kern w:val="0"/>
          <w:szCs w:val="32"/>
        </w:rPr>
        <w:t>（一）机关运行经费支出情况说明。</w:t>
      </w:r>
    </w:p>
    <w:p w14:paraId="6D6AC0F5">
      <w:pPr>
        <w:widowControl/>
        <w:ind w:firstLine="620" w:firstLineChars="200"/>
        <w:rPr>
          <w:rFonts w:ascii="Times New Roman" w:hAnsi="Times New Roman" w:eastAsia="仿宋_GB2312"/>
          <w:color w:val="000000"/>
          <w:kern w:val="0"/>
          <w:szCs w:val="32"/>
        </w:rPr>
      </w:pPr>
      <w:r>
        <w:rPr>
          <w:rFonts w:ascii="Times New Roman" w:hAnsi="Times New Roman" w:eastAsia="仿宋_GB2312"/>
          <w:color w:val="000000"/>
          <w:kern w:val="0"/>
          <w:sz w:val="31"/>
          <w:szCs w:val="31"/>
        </w:rPr>
        <w:t>2019年度机关运行经费</w:t>
      </w:r>
      <w:r>
        <w:rPr>
          <w:rFonts w:ascii="Times New Roman" w:hAnsi="Times New Roman" w:eastAsia="仿宋_GB2312"/>
          <w:color w:val="000000"/>
          <w:kern w:val="0"/>
          <w:szCs w:val="32"/>
        </w:rPr>
        <w:t>预算为</w:t>
      </w:r>
      <w:r>
        <w:rPr>
          <w:rFonts w:hint="eastAsia" w:ascii="Times New Roman" w:hAnsi="Times New Roman" w:eastAsia="仿宋_GB2312"/>
          <w:color w:val="000000"/>
          <w:kern w:val="0"/>
          <w:szCs w:val="32"/>
        </w:rPr>
        <w:t>6.5</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2.5</w:t>
      </w:r>
      <w:r>
        <w:rPr>
          <w:rFonts w:ascii="Times New Roman" w:hAnsi="Times New Roman" w:eastAsia="仿宋_GB2312"/>
          <w:color w:val="000000"/>
          <w:kern w:val="0"/>
          <w:szCs w:val="32"/>
        </w:rPr>
        <w:t>万元，完成预算的</w:t>
      </w:r>
      <w:r>
        <w:rPr>
          <w:rFonts w:hint="eastAsia" w:ascii="Times New Roman" w:hAnsi="Times New Roman" w:eastAsia="仿宋_GB2312"/>
          <w:color w:val="000000"/>
          <w:kern w:val="0"/>
          <w:szCs w:val="32"/>
        </w:rPr>
        <w:t>38.5</w:t>
      </w:r>
      <w:r>
        <w:rPr>
          <w:rFonts w:ascii="Times New Roman" w:hAnsi="Times New Roman" w:eastAsia="仿宋_GB2312"/>
          <w:color w:val="000000"/>
          <w:kern w:val="0"/>
          <w:szCs w:val="32"/>
        </w:rPr>
        <w:t>%。决算数较预算数减少</w:t>
      </w:r>
      <w:r>
        <w:rPr>
          <w:rFonts w:hint="eastAsia" w:ascii="Times New Roman" w:hAnsi="Times New Roman" w:eastAsia="仿宋_GB2312"/>
          <w:color w:val="000000"/>
          <w:kern w:val="0"/>
          <w:szCs w:val="32"/>
        </w:rPr>
        <w:t>4</w:t>
      </w:r>
      <w:r>
        <w:rPr>
          <w:rFonts w:ascii="Times New Roman" w:hAnsi="Times New Roman" w:eastAsia="仿宋_GB2312"/>
          <w:color w:val="000000"/>
          <w:kern w:val="0"/>
          <w:szCs w:val="32"/>
        </w:rPr>
        <w:t>万元，主要原因是</w:t>
      </w:r>
      <w:r>
        <w:rPr>
          <w:rFonts w:hint="eastAsia" w:ascii="Times New Roman" w:hAnsi="Times New Roman" w:eastAsia="仿宋_GB2312"/>
          <w:color w:val="000000"/>
          <w:kern w:val="0"/>
          <w:szCs w:val="32"/>
        </w:rPr>
        <w:t>节约资源，严格控制办公支出</w:t>
      </w:r>
      <w:r>
        <w:rPr>
          <w:rFonts w:ascii="Times New Roman" w:hAnsi="Times New Roman" w:eastAsia="仿宋_GB2312"/>
          <w:color w:val="000000"/>
          <w:kern w:val="0"/>
          <w:szCs w:val="32"/>
        </w:rPr>
        <w:t>。</w:t>
      </w:r>
    </w:p>
    <w:p w14:paraId="56FDC167">
      <w:pPr>
        <w:widowControl/>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（二）政府采购支出情况说明。</w:t>
      </w:r>
    </w:p>
    <w:p w14:paraId="1FCC0D2B">
      <w:pPr>
        <w:widowControl/>
        <w:ind w:firstLine="640" w:firstLineChars="200"/>
        <w:rPr>
          <w:rFonts w:ascii="Times New Roman" w:hAnsi="Times New Roman" w:eastAsia="仿宋_GB2312"/>
          <w:szCs w:val="32"/>
        </w:rPr>
      </w:pPr>
      <w:r>
        <w:rPr>
          <w:rFonts w:ascii="Times New Roman" w:hAnsi="Times New Roman" w:eastAsia="仿宋_GB2312"/>
          <w:szCs w:val="32"/>
        </w:rPr>
        <w:t>2019年度本部门政府采购支出总额共</w:t>
      </w:r>
      <w:r>
        <w:rPr>
          <w:rFonts w:hint="eastAsia" w:ascii="Times New Roman" w:hAnsi="Times New Roman" w:eastAsia="仿宋_GB2312"/>
          <w:szCs w:val="32"/>
        </w:rPr>
        <w:t>52.38</w:t>
      </w:r>
      <w:r>
        <w:rPr>
          <w:rFonts w:ascii="Times New Roman" w:hAnsi="Times New Roman" w:eastAsia="仿宋_GB2312"/>
          <w:szCs w:val="32"/>
        </w:rPr>
        <w:t>万元，其中政府采购货物类支出</w:t>
      </w:r>
      <w:r>
        <w:rPr>
          <w:rFonts w:hint="eastAsia" w:ascii="Times New Roman" w:hAnsi="Times New Roman" w:eastAsia="仿宋_GB2312"/>
          <w:szCs w:val="32"/>
        </w:rPr>
        <w:t>52.38</w:t>
      </w:r>
      <w:r>
        <w:rPr>
          <w:rFonts w:ascii="Times New Roman" w:hAnsi="Times New Roman" w:eastAsia="仿宋_GB2312"/>
          <w:szCs w:val="32"/>
        </w:rPr>
        <w:t>万元、政府采购服务类支出</w:t>
      </w:r>
      <w:r>
        <w:rPr>
          <w:rFonts w:hint="eastAsia" w:ascii="Times New Roman" w:hAnsi="Times New Roman" w:eastAsia="仿宋_GB2312"/>
          <w:szCs w:val="32"/>
        </w:rPr>
        <w:t>0</w:t>
      </w:r>
      <w:r>
        <w:rPr>
          <w:rFonts w:ascii="Times New Roman" w:hAnsi="Times New Roman" w:eastAsia="仿宋_GB2312"/>
          <w:szCs w:val="32"/>
        </w:rPr>
        <w:t>万元、政府采购工程类支出</w:t>
      </w:r>
      <w:r>
        <w:rPr>
          <w:rFonts w:hint="eastAsia" w:ascii="Times New Roman" w:hAnsi="Times New Roman" w:eastAsia="仿宋_GB2312"/>
          <w:szCs w:val="32"/>
        </w:rPr>
        <w:t>0</w:t>
      </w:r>
      <w:r>
        <w:rPr>
          <w:rFonts w:ascii="Times New Roman" w:hAnsi="Times New Roman" w:eastAsia="仿宋_GB2312"/>
          <w:szCs w:val="32"/>
        </w:rPr>
        <w:t>万元。</w:t>
      </w:r>
      <w:r>
        <w:rPr>
          <w:rFonts w:ascii="Times New Roman" w:hAnsi="Times New Roman" w:eastAsia="仿宋_GB2312"/>
          <w:color w:val="000000"/>
          <w:kern w:val="0"/>
          <w:szCs w:val="32"/>
        </w:rPr>
        <w:t>授予中小企业合同金额</w:t>
      </w:r>
      <w:r>
        <w:rPr>
          <w:rFonts w:hint="eastAsia" w:ascii="Times New Roman" w:hAnsi="Times New Roman" w:eastAsia="仿宋_GB2312"/>
          <w:color w:val="000000"/>
          <w:kern w:val="0"/>
          <w:szCs w:val="32"/>
        </w:rPr>
        <w:t>52.38</w:t>
      </w:r>
      <w:r>
        <w:rPr>
          <w:rFonts w:ascii="Times New Roman" w:hAnsi="Times New Roman" w:eastAsia="仿宋_GB2312"/>
          <w:color w:val="000000"/>
          <w:kern w:val="0"/>
          <w:szCs w:val="32"/>
        </w:rPr>
        <w:t>万元，占政府采购支出总额的</w:t>
      </w:r>
      <w:r>
        <w:rPr>
          <w:rFonts w:hint="eastAsia" w:ascii="Times New Roman" w:hAnsi="Times New Roman" w:eastAsia="仿宋_GB2312"/>
          <w:color w:val="000000"/>
          <w:kern w:val="0"/>
          <w:szCs w:val="32"/>
        </w:rPr>
        <w:t>100</w:t>
      </w:r>
      <w:r>
        <w:rPr>
          <w:rFonts w:ascii="Times New Roman" w:hAnsi="Times New Roman" w:eastAsia="仿宋_GB2312"/>
          <w:color w:val="000000"/>
          <w:kern w:val="0"/>
          <w:szCs w:val="32"/>
        </w:rPr>
        <w:t>%，其中：授予小微企业合同金额</w:t>
      </w:r>
      <w:r>
        <w:rPr>
          <w:rFonts w:hint="eastAsia" w:ascii="Times New Roman" w:hAnsi="Times New Roman" w:eastAsia="仿宋_GB2312"/>
          <w:color w:val="000000"/>
          <w:kern w:val="0"/>
          <w:szCs w:val="32"/>
        </w:rPr>
        <w:t>52.38</w:t>
      </w:r>
      <w:r>
        <w:rPr>
          <w:rFonts w:ascii="Times New Roman" w:hAnsi="Times New Roman" w:eastAsia="仿宋_GB2312"/>
          <w:color w:val="000000"/>
          <w:kern w:val="0"/>
          <w:szCs w:val="32"/>
        </w:rPr>
        <w:t>万元，占政府采购支出总额的</w:t>
      </w:r>
      <w:r>
        <w:rPr>
          <w:rFonts w:hint="eastAsia" w:ascii="Times New Roman" w:hAnsi="Times New Roman" w:eastAsia="仿宋_GB2312"/>
          <w:color w:val="000000"/>
          <w:kern w:val="0"/>
          <w:szCs w:val="32"/>
        </w:rPr>
        <w:t>100</w:t>
      </w:r>
      <w:r>
        <w:rPr>
          <w:rFonts w:ascii="Times New Roman" w:hAnsi="Times New Roman" w:eastAsia="仿宋_GB2312"/>
          <w:color w:val="000000"/>
          <w:kern w:val="0"/>
          <w:szCs w:val="32"/>
        </w:rPr>
        <w:t>%。</w:t>
      </w:r>
    </w:p>
    <w:p w14:paraId="2F324A17">
      <w:pPr>
        <w:widowControl/>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（三）国有资产占用及购置情况说明。</w:t>
      </w:r>
    </w:p>
    <w:p w14:paraId="5B105B26">
      <w:pPr>
        <w:ind w:firstLine="640"/>
        <w:rPr>
          <w:rFonts w:ascii="Times New Roman" w:hAnsi="Times New Roman" w:eastAsia="仿宋_GB2312"/>
          <w:szCs w:val="32"/>
        </w:rPr>
      </w:pPr>
      <w:r>
        <w:rPr>
          <w:rFonts w:ascii="Times New Roman" w:hAnsi="Times New Roman" w:eastAsia="仿宋_GB2312"/>
          <w:szCs w:val="32"/>
        </w:rPr>
        <w:t>截至2019年末，本部门机关及所属单位共有车辆</w:t>
      </w:r>
      <w:r>
        <w:rPr>
          <w:rFonts w:hint="eastAsia" w:ascii="Times New Roman" w:hAnsi="Times New Roman" w:eastAsia="仿宋_GB2312"/>
          <w:szCs w:val="32"/>
        </w:rPr>
        <w:t>7</w:t>
      </w:r>
      <w:r>
        <w:rPr>
          <w:rFonts w:ascii="Times New Roman" w:hAnsi="Times New Roman" w:eastAsia="仿宋_GB2312"/>
          <w:szCs w:val="32"/>
        </w:rPr>
        <w:t>辆；单价50万元以上的通用设备</w:t>
      </w:r>
      <w:r>
        <w:rPr>
          <w:rFonts w:hint="eastAsia" w:ascii="Times New Roman" w:hAnsi="Times New Roman" w:eastAsia="仿宋_GB2312"/>
          <w:szCs w:val="32"/>
        </w:rPr>
        <w:t>0</w:t>
      </w:r>
      <w:r>
        <w:rPr>
          <w:rFonts w:ascii="Times New Roman" w:hAnsi="Times New Roman" w:eastAsia="仿宋_GB2312"/>
          <w:szCs w:val="32"/>
        </w:rPr>
        <w:t>台（套）；单价100万元以上的专用设备</w:t>
      </w:r>
      <w:r>
        <w:rPr>
          <w:rFonts w:hint="eastAsia" w:ascii="Times New Roman" w:hAnsi="Times New Roman" w:eastAsia="仿宋_GB2312"/>
          <w:szCs w:val="32"/>
        </w:rPr>
        <w:t>0</w:t>
      </w:r>
      <w:r>
        <w:rPr>
          <w:rFonts w:ascii="Times New Roman" w:hAnsi="Times New Roman" w:eastAsia="仿宋_GB2312"/>
          <w:szCs w:val="32"/>
        </w:rPr>
        <w:t>台（套）。2019年当年购置车辆</w:t>
      </w:r>
      <w:r>
        <w:rPr>
          <w:rFonts w:hint="eastAsia" w:ascii="Times New Roman" w:hAnsi="Times New Roman" w:eastAsia="仿宋_GB2312"/>
          <w:szCs w:val="32"/>
        </w:rPr>
        <w:t>0</w:t>
      </w:r>
      <w:r>
        <w:rPr>
          <w:rFonts w:ascii="Times New Roman" w:hAnsi="Times New Roman" w:eastAsia="仿宋_GB2312"/>
          <w:szCs w:val="32"/>
        </w:rPr>
        <w:t>辆；购置单价50万元以上的通用设备</w:t>
      </w:r>
      <w:r>
        <w:rPr>
          <w:rFonts w:hint="eastAsia" w:ascii="Times New Roman" w:hAnsi="Times New Roman" w:eastAsia="仿宋_GB2312"/>
          <w:szCs w:val="32"/>
        </w:rPr>
        <w:t>0</w:t>
      </w:r>
      <w:r>
        <w:rPr>
          <w:rFonts w:ascii="Times New Roman" w:hAnsi="Times New Roman" w:eastAsia="仿宋_GB2312"/>
          <w:szCs w:val="32"/>
        </w:rPr>
        <w:t>台（套）；购置单价100万元以上的专用设备</w:t>
      </w:r>
      <w:r>
        <w:rPr>
          <w:rFonts w:hint="eastAsia" w:ascii="Times New Roman" w:hAnsi="Times New Roman" w:eastAsia="仿宋_GB2312"/>
          <w:szCs w:val="32"/>
        </w:rPr>
        <w:t>0</w:t>
      </w:r>
      <w:r>
        <w:rPr>
          <w:rFonts w:ascii="Times New Roman" w:hAnsi="Times New Roman" w:eastAsia="仿宋_GB2312"/>
          <w:szCs w:val="32"/>
        </w:rPr>
        <w:t>台（套）。</w:t>
      </w:r>
    </w:p>
    <w:p w14:paraId="7527A84A">
      <w:pPr>
        <w:widowControl/>
        <w:rPr>
          <w:rFonts w:ascii="Times New Roman" w:hAnsi="Times New Roman" w:eastAsia="黑体"/>
          <w:color w:val="000000"/>
          <w:kern w:val="0"/>
          <w:szCs w:val="32"/>
        </w:rPr>
      </w:pPr>
    </w:p>
    <w:p w14:paraId="0406E115">
      <w:pPr>
        <w:widowControl/>
        <w:rPr>
          <w:rFonts w:hint="eastAsia" w:ascii="Times New Roman" w:hAnsi="Times New Roman" w:eastAsia="黑体"/>
          <w:color w:val="000000"/>
          <w:kern w:val="0"/>
          <w:szCs w:val="32"/>
        </w:rPr>
      </w:pPr>
    </w:p>
    <w:p w14:paraId="000C40DC">
      <w:pPr>
        <w:widowControl/>
        <w:rPr>
          <w:rFonts w:hint="eastAsia" w:ascii="Times New Roman" w:hAnsi="Times New Roman" w:eastAsia="黑体"/>
          <w:color w:val="000000"/>
          <w:kern w:val="0"/>
          <w:szCs w:val="32"/>
        </w:rPr>
      </w:pPr>
    </w:p>
    <w:p w14:paraId="07EBE2CA">
      <w:pPr>
        <w:widowControl/>
        <w:rPr>
          <w:rFonts w:ascii="Times New Roman" w:hAnsi="Times New Roman" w:eastAsia="黑体"/>
          <w:color w:val="000000"/>
          <w:kern w:val="0"/>
          <w:szCs w:val="32"/>
        </w:rPr>
      </w:pPr>
    </w:p>
    <w:p w14:paraId="784B7B5B">
      <w:pPr>
        <w:widowControl/>
        <w:rPr>
          <w:rFonts w:ascii="Times New Roman" w:hAnsi="Times New Roman" w:eastAsia="黑体"/>
          <w:color w:val="000000"/>
          <w:kern w:val="0"/>
          <w:szCs w:val="32"/>
        </w:rPr>
      </w:pPr>
    </w:p>
    <w:p w14:paraId="703086A3">
      <w:pPr>
        <w:pStyle w:val="18"/>
        <w:ind w:left="1760" w:firstLine="400" w:firstLineChars="100"/>
        <w:rPr>
          <w:rFonts w:ascii="Times New Roman" w:hAnsi="Times New Roman" w:eastAsia="黑体"/>
          <w:color w:val="000000"/>
          <w:kern w:val="0"/>
          <w:sz w:val="40"/>
          <w:szCs w:val="40"/>
        </w:rPr>
      </w:pPr>
      <w:r>
        <w:rPr>
          <w:rFonts w:ascii="Times New Roman" w:hAnsi="Times New Roman" w:eastAsia="黑体"/>
          <w:color w:val="000000"/>
          <w:kern w:val="0"/>
          <w:sz w:val="40"/>
          <w:szCs w:val="40"/>
        </w:rPr>
        <w:t>第三部分 专业名词解释</w:t>
      </w:r>
    </w:p>
    <w:p w14:paraId="0C579F6F">
      <w:pPr>
        <w:ind w:firstLine="643" w:firstLineChars="200"/>
        <w:rPr>
          <w:rFonts w:ascii="Times New Roman" w:hAnsi="Times New Roman" w:eastAsia="仿宋_GB2312"/>
          <w:szCs w:val="32"/>
        </w:rPr>
      </w:pPr>
      <w:r>
        <w:rPr>
          <w:rFonts w:ascii="Times New Roman" w:hAnsi="Times New Roman" w:eastAsia="仿宋_GB2312"/>
          <w:b/>
          <w:bCs/>
          <w:szCs w:val="32"/>
        </w:rPr>
        <w:t>1.基本支出</w:t>
      </w:r>
      <w:r>
        <w:rPr>
          <w:rFonts w:ascii="Times New Roman" w:hAnsi="Times New Roman" w:eastAsia="仿宋_GB2312"/>
          <w:szCs w:val="32"/>
        </w:rPr>
        <w:t>：指为保障机构正常运转、完成日常工作任务而发生的各项支出。</w:t>
      </w:r>
    </w:p>
    <w:p w14:paraId="002DFF78">
      <w:pPr>
        <w:ind w:firstLine="643" w:firstLineChars="200"/>
        <w:rPr>
          <w:rFonts w:ascii="Times New Roman" w:hAnsi="Times New Roman" w:eastAsia="仿宋_GB2312"/>
          <w:szCs w:val="32"/>
        </w:rPr>
      </w:pPr>
      <w:r>
        <w:rPr>
          <w:rFonts w:ascii="Times New Roman" w:hAnsi="Times New Roman" w:eastAsia="仿宋_GB2312"/>
          <w:b/>
          <w:bCs/>
          <w:szCs w:val="32"/>
        </w:rPr>
        <w:t>2.项目支出</w:t>
      </w:r>
      <w:r>
        <w:rPr>
          <w:rFonts w:ascii="Times New Roman" w:hAnsi="Times New Roman" w:eastAsia="仿宋_GB2312"/>
          <w:szCs w:val="32"/>
        </w:rPr>
        <w:t>：指单位为完成特定的行政工作任务或事业发展目标所发生的各项支出。</w:t>
      </w:r>
    </w:p>
    <w:p w14:paraId="5F889F75">
      <w:pPr>
        <w:ind w:firstLine="640"/>
        <w:rPr>
          <w:rFonts w:ascii="Times New Roman" w:hAnsi="Times New Roman" w:eastAsia="仿宋_GB2312"/>
          <w:szCs w:val="32"/>
        </w:rPr>
      </w:pPr>
      <w:r>
        <w:rPr>
          <w:rFonts w:ascii="Times New Roman" w:hAnsi="Times New Roman" w:eastAsia="仿宋_GB2312"/>
          <w:b/>
          <w:bCs/>
          <w:szCs w:val="32"/>
        </w:rPr>
        <w:t>3.“三公”经费</w:t>
      </w:r>
      <w:r>
        <w:rPr>
          <w:rFonts w:ascii="Times New Roman" w:hAnsi="Times New Roman" w:eastAsia="仿宋_GB2312"/>
          <w:szCs w:val="32"/>
        </w:rPr>
        <w:t>：指部门使用一般公共预算财政拨款安排的因公出国（境）费、公务用车购置及运行费和公务接待费支出。</w:t>
      </w:r>
    </w:p>
    <w:p w14:paraId="3714ECFF">
      <w:pPr>
        <w:ind w:firstLine="640"/>
        <w:rPr>
          <w:rFonts w:ascii="Times New Roman" w:hAnsi="Times New Roman" w:eastAsia="仿宋_GB2312"/>
          <w:szCs w:val="32"/>
        </w:rPr>
      </w:pPr>
      <w:r>
        <w:rPr>
          <w:rFonts w:ascii="Times New Roman" w:hAnsi="Times New Roman" w:eastAsia="仿宋_GB2312"/>
          <w:b/>
          <w:bCs/>
          <w:szCs w:val="32"/>
        </w:rPr>
        <w:t>4.财政拨款收入</w:t>
      </w:r>
      <w:r>
        <w:rPr>
          <w:rFonts w:ascii="Times New Roman" w:hAnsi="Times New Roman" w:eastAsia="仿宋_GB2312"/>
          <w:szCs w:val="32"/>
        </w:rPr>
        <w:t>：指本级财政当年拨付的资金。</w:t>
      </w:r>
    </w:p>
    <w:p w14:paraId="3720F4C2">
      <w:pPr>
        <w:widowControl/>
        <w:rPr>
          <w:rFonts w:ascii="Times New Roman" w:hAnsi="Times New Roman" w:eastAsia="楷体"/>
          <w:szCs w:val="32"/>
        </w:rPr>
      </w:pPr>
    </w:p>
    <w:p w14:paraId="6234A1DD">
      <w:pPr>
        <w:widowControl/>
        <w:rPr>
          <w:rFonts w:ascii="Times New Roman" w:hAnsi="Times New Roman" w:eastAsia="楷体"/>
          <w:szCs w:val="32"/>
        </w:rPr>
      </w:pPr>
    </w:p>
    <w:p w14:paraId="3C13BF87">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2E80C">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98E98A0">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w:r>
  </w:p>
  <w:p w14:paraId="0D59ED5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9695">
    <w:pPr>
      <w:pStyle w:val="4"/>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45592C5">
                <w:pPr>
                  <w:pStyle w:val="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E506C4"/>
    <w:rsid w:val="00004B18"/>
    <w:rsid w:val="00032772"/>
    <w:rsid w:val="000434C5"/>
    <w:rsid w:val="00044686"/>
    <w:rsid w:val="000A7FFD"/>
    <w:rsid w:val="000D2959"/>
    <w:rsid w:val="001147EA"/>
    <w:rsid w:val="001216F1"/>
    <w:rsid w:val="002908A8"/>
    <w:rsid w:val="002E72B8"/>
    <w:rsid w:val="00406C13"/>
    <w:rsid w:val="00452489"/>
    <w:rsid w:val="00465C9F"/>
    <w:rsid w:val="00487E34"/>
    <w:rsid w:val="004C545D"/>
    <w:rsid w:val="005165F2"/>
    <w:rsid w:val="005174FA"/>
    <w:rsid w:val="00517E3B"/>
    <w:rsid w:val="005D35F6"/>
    <w:rsid w:val="005F1594"/>
    <w:rsid w:val="0061583F"/>
    <w:rsid w:val="00623C28"/>
    <w:rsid w:val="00652305"/>
    <w:rsid w:val="006B389C"/>
    <w:rsid w:val="006F3BE7"/>
    <w:rsid w:val="00727530"/>
    <w:rsid w:val="0073773E"/>
    <w:rsid w:val="007B1ED8"/>
    <w:rsid w:val="00823136"/>
    <w:rsid w:val="00917878"/>
    <w:rsid w:val="009416ED"/>
    <w:rsid w:val="009424BF"/>
    <w:rsid w:val="0096735D"/>
    <w:rsid w:val="00A334A9"/>
    <w:rsid w:val="00A4324D"/>
    <w:rsid w:val="00A63F10"/>
    <w:rsid w:val="00A90EED"/>
    <w:rsid w:val="00A94CFE"/>
    <w:rsid w:val="00B31455"/>
    <w:rsid w:val="00B65AD0"/>
    <w:rsid w:val="00BB3C32"/>
    <w:rsid w:val="00BC3163"/>
    <w:rsid w:val="00C300B5"/>
    <w:rsid w:val="00C5456B"/>
    <w:rsid w:val="00D235DC"/>
    <w:rsid w:val="00D61EB3"/>
    <w:rsid w:val="00D762ED"/>
    <w:rsid w:val="00D92B33"/>
    <w:rsid w:val="00DD69DE"/>
    <w:rsid w:val="00DD7E56"/>
    <w:rsid w:val="00E31B5E"/>
    <w:rsid w:val="00ED584A"/>
    <w:rsid w:val="07997F9B"/>
    <w:rsid w:val="086C1E64"/>
    <w:rsid w:val="0AA36A65"/>
    <w:rsid w:val="152D2450"/>
    <w:rsid w:val="16A3681C"/>
    <w:rsid w:val="1AF22409"/>
    <w:rsid w:val="1D8B0C78"/>
    <w:rsid w:val="20B96E79"/>
    <w:rsid w:val="20E506C4"/>
    <w:rsid w:val="29E97BF1"/>
    <w:rsid w:val="30DF4759"/>
    <w:rsid w:val="30E6645D"/>
    <w:rsid w:val="353377C3"/>
    <w:rsid w:val="35B0628A"/>
    <w:rsid w:val="3669223E"/>
    <w:rsid w:val="37CA68BA"/>
    <w:rsid w:val="3D904069"/>
    <w:rsid w:val="3FCA23EC"/>
    <w:rsid w:val="424D60E4"/>
    <w:rsid w:val="42FA4769"/>
    <w:rsid w:val="43BC1030"/>
    <w:rsid w:val="47964FBE"/>
    <w:rsid w:val="4A1752A2"/>
    <w:rsid w:val="4B18398F"/>
    <w:rsid w:val="52AC7AB3"/>
    <w:rsid w:val="54207C4C"/>
    <w:rsid w:val="596D661C"/>
    <w:rsid w:val="69A157A9"/>
    <w:rsid w:val="69F8657F"/>
    <w:rsid w:val="6B3B79EC"/>
    <w:rsid w:val="6F094735"/>
    <w:rsid w:val="6F3C5E11"/>
    <w:rsid w:val="73431FE5"/>
    <w:rsid w:val="778B0394"/>
    <w:rsid w:val="7B6D5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Balloon Text"/>
    <w:basedOn w:val="1"/>
    <w:link w:val="19"/>
    <w:qFormat/>
    <w:uiPriority w:val="0"/>
    <w:rPr>
      <w:sz w:val="18"/>
      <w:szCs w:val="18"/>
    </w:rPr>
  </w:style>
  <w:style w:type="paragraph" w:styleId="4">
    <w:name w:val="footer"/>
    <w:basedOn w:val="1"/>
    <w:link w:val="17"/>
    <w:uiPriority w:val="99"/>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11"/>
    <w:basedOn w:val="8"/>
    <w:qFormat/>
    <w:uiPriority w:val="0"/>
    <w:rPr>
      <w:rFonts w:hint="eastAsia" w:ascii="宋体" w:hAnsi="宋体" w:eastAsia="宋体" w:cs="宋体"/>
      <w:b/>
      <w:color w:val="000000"/>
      <w:sz w:val="32"/>
      <w:szCs w:val="32"/>
      <w:u w:val="none"/>
    </w:rPr>
  </w:style>
  <w:style w:type="character" w:customStyle="1" w:styleId="10">
    <w:name w:val="font91"/>
    <w:basedOn w:val="8"/>
    <w:qFormat/>
    <w:uiPriority w:val="0"/>
    <w:rPr>
      <w:rFonts w:hint="eastAsia" w:ascii="宋体" w:hAnsi="宋体" w:eastAsia="宋体" w:cs="宋体"/>
      <w:color w:val="000000"/>
      <w:sz w:val="32"/>
      <w:szCs w:val="32"/>
      <w:u w:val="none"/>
    </w:rPr>
  </w:style>
  <w:style w:type="character" w:customStyle="1" w:styleId="11">
    <w:name w:val="font51"/>
    <w:basedOn w:val="8"/>
    <w:qFormat/>
    <w:uiPriority w:val="0"/>
    <w:rPr>
      <w:rFonts w:hint="eastAsia" w:ascii="宋体" w:hAnsi="宋体" w:eastAsia="宋体" w:cs="宋体"/>
      <w:color w:val="000000"/>
      <w:sz w:val="20"/>
      <w:szCs w:val="20"/>
      <w:u w:val="none"/>
    </w:rPr>
  </w:style>
  <w:style w:type="character" w:customStyle="1" w:styleId="12">
    <w:name w:val="font101"/>
    <w:basedOn w:val="8"/>
    <w:qFormat/>
    <w:uiPriority w:val="0"/>
    <w:rPr>
      <w:rFonts w:hint="eastAsia" w:ascii="宋体" w:hAnsi="宋体" w:eastAsia="宋体" w:cs="宋体"/>
      <w:color w:val="000000"/>
      <w:sz w:val="20"/>
      <w:szCs w:val="20"/>
      <w:u w:val="none"/>
    </w:rPr>
  </w:style>
  <w:style w:type="character" w:customStyle="1" w:styleId="13">
    <w:name w:val="font21"/>
    <w:basedOn w:val="8"/>
    <w:qFormat/>
    <w:uiPriority w:val="0"/>
    <w:rPr>
      <w:rFonts w:hint="eastAsia" w:ascii="宋体" w:hAnsi="宋体" w:eastAsia="宋体" w:cs="宋体"/>
      <w:color w:val="000000"/>
      <w:sz w:val="18"/>
      <w:szCs w:val="18"/>
      <w:u w:val="none"/>
    </w:rPr>
  </w:style>
  <w:style w:type="character" w:customStyle="1" w:styleId="14">
    <w:name w:val="font112"/>
    <w:basedOn w:val="8"/>
    <w:qFormat/>
    <w:uiPriority w:val="0"/>
    <w:rPr>
      <w:rFonts w:hint="eastAsia" w:ascii="宋体" w:hAnsi="宋体" w:eastAsia="宋体" w:cs="宋体"/>
      <w:color w:val="000000"/>
      <w:sz w:val="20"/>
      <w:szCs w:val="20"/>
      <w:u w:val="none"/>
    </w:rPr>
  </w:style>
  <w:style w:type="character" w:customStyle="1" w:styleId="15">
    <w:name w:val="font61"/>
    <w:basedOn w:val="8"/>
    <w:qFormat/>
    <w:uiPriority w:val="0"/>
    <w:rPr>
      <w:rFonts w:hint="eastAsia" w:ascii="宋体" w:hAnsi="宋体" w:eastAsia="宋体" w:cs="宋体"/>
      <w:color w:val="000000"/>
      <w:sz w:val="24"/>
      <w:szCs w:val="24"/>
      <w:u w:val="none"/>
    </w:rPr>
  </w:style>
  <w:style w:type="character" w:customStyle="1" w:styleId="16">
    <w:name w:val="页眉 Char"/>
    <w:basedOn w:val="8"/>
    <w:link w:val="5"/>
    <w:uiPriority w:val="0"/>
    <w:rPr>
      <w:rFonts w:ascii="Calibri" w:hAnsi="Calibri" w:eastAsia="方正仿宋简体"/>
      <w:kern w:val="2"/>
      <w:sz w:val="18"/>
      <w:szCs w:val="18"/>
    </w:rPr>
  </w:style>
  <w:style w:type="character" w:customStyle="1" w:styleId="17">
    <w:name w:val="页脚 Char"/>
    <w:basedOn w:val="8"/>
    <w:link w:val="4"/>
    <w:qFormat/>
    <w:uiPriority w:val="99"/>
    <w:rPr>
      <w:rFonts w:ascii="Calibri" w:hAnsi="Calibri" w:eastAsia="方正仿宋简体"/>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框文本 Char"/>
    <w:basedOn w:val="8"/>
    <w:link w:val="3"/>
    <w:uiPriority w:val="0"/>
    <w:rPr>
      <w:rFonts w:eastAsia="方正仿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行政</c:v>
                </c:pt>
              </c:strCache>
            </c:strRef>
          </c:tx>
          <c:invertIfNegative val="0"/>
          <c:dLbls>
            <c:delete val="1"/>
          </c:dLbls>
          <c:cat>
            <c:strRef>
              <c:f>Sheet1!$A$2:$A$3</c:f>
              <c:strCache>
                <c:ptCount val="2"/>
                <c:pt idx="0">
                  <c:v>编制数量</c:v>
                </c:pt>
                <c:pt idx="1">
                  <c:v>实有人员</c:v>
                </c:pt>
              </c:strCache>
            </c:strRef>
          </c:cat>
          <c:val>
            <c:numRef>
              <c:f>Sheet1!$B$2:$B$3</c:f>
              <c:numCache>
                <c:formatCode>General</c:formatCode>
                <c:ptCount val="2"/>
                <c:pt idx="0">
                  <c:v>19</c:v>
                </c:pt>
                <c:pt idx="1">
                  <c:v>27</c:v>
                </c:pt>
              </c:numCache>
            </c:numRef>
          </c:val>
        </c:ser>
        <c:ser>
          <c:idx val="1"/>
          <c:order val="1"/>
          <c:tx>
            <c:strRef>
              <c:f>Sheet1!$C$1</c:f>
              <c:strCache>
                <c:ptCount val="1"/>
                <c:pt idx="0">
                  <c:v>事业</c:v>
                </c:pt>
              </c:strCache>
            </c:strRef>
          </c:tx>
          <c:invertIfNegative val="0"/>
          <c:dLbls>
            <c:delete val="1"/>
          </c:dLbls>
          <c:cat>
            <c:strRef>
              <c:f>Sheet1!$A$2:$A$3</c:f>
              <c:strCache>
                <c:ptCount val="2"/>
                <c:pt idx="0">
                  <c:v>编制数量</c:v>
                </c:pt>
                <c:pt idx="1">
                  <c:v>实有人员</c:v>
                </c:pt>
              </c:strCache>
            </c:strRef>
          </c:cat>
          <c:val>
            <c:numRef>
              <c:f>Sheet1!$C$2:$C$3</c:f>
              <c:numCache>
                <c:formatCode>General</c:formatCode>
                <c:ptCount val="2"/>
                <c:pt idx="0">
                  <c:v>4</c:v>
                </c:pt>
                <c:pt idx="1">
                  <c:v>4.4</c:v>
                </c:pt>
              </c:numCache>
            </c:numRef>
          </c:val>
        </c:ser>
        <c:dLbls>
          <c:showLegendKey val="0"/>
          <c:showVal val="0"/>
          <c:showCatName val="0"/>
          <c:showSerName val="0"/>
          <c:showPercent val="0"/>
          <c:showBubbleSize val="0"/>
        </c:dLbls>
        <c:gapWidth val="150"/>
        <c:axId val="157853184"/>
        <c:axId val="157854720"/>
      </c:barChart>
      <c:catAx>
        <c:axId val="1578531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854720"/>
        <c:crosses val="autoZero"/>
        <c:auto val="1"/>
        <c:lblAlgn val="ctr"/>
        <c:lblOffset val="100"/>
        <c:noMultiLvlLbl val="0"/>
      </c:catAx>
      <c:valAx>
        <c:axId val="1578547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8531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5aaf776-bc54-4d78-9055-5f3c545aea31}"/>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收入</c:v>
                </c:pt>
              </c:strCache>
            </c:strRef>
          </c:tx>
          <c:dLbls>
            <c:delete val="1"/>
          </c:dLbls>
          <c:cat>
            <c:strRef>
              <c:f>Sheet1!$A$2:$A$3</c:f>
              <c:strCache>
                <c:ptCount val="2"/>
                <c:pt idx="0">
                  <c:v>2018年</c:v>
                </c:pt>
                <c:pt idx="1">
                  <c:v>2019年</c:v>
                </c:pt>
              </c:strCache>
            </c:strRef>
          </c:cat>
          <c:val>
            <c:numRef>
              <c:f>Sheet1!$B$2:$B$3</c:f>
              <c:numCache>
                <c:formatCode>General</c:formatCode>
                <c:ptCount val="2"/>
                <c:pt idx="0">
                  <c:v>718.97</c:v>
                </c:pt>
                <c:pt idx="1">
                  <c:v>917.19</c:v>
                </c:pt>
              </c:numCache>
            </c:numRef>
          </c:val>
          <c:smooth val="0"/>
        </c:ser>
        <c:ser>
          <c:idx val="1"/>
          <c:order val="1"/>
          <c:tx>
            <c:strRef>
              <c:f>Sheet1!$C$1</c:f>
              <c:strCache>
                <c:ptCount val="1"/>
                <c:pt idx="0">
                  <c:v>支出</c:v>
                </c:pt>
              </c:strCache>
            </c:strRef>
          </c:tx>
          <c:dLbls>
            <c:delete val="1"/>
          </c:dLbls>
          <c:cat>
            <c:strRef>
              <c:f>Sheet1!$A$2:$A$3</c:f>
              <c:strCache>
                <c:ptCount val="2"/>
                <c:pt idx="0">
                  <c:v>2018年</c:v>
                </c:pt>
                <c:pt idx="1">
                  <c:v>2019年</c:v>
                </c:pt>
              </c:strCache>
            </c:strRef>
          </c:cat>
          <c:val>
            <c:numRef>
              <c:f>Sheet1!$C$2:$C$3</c:f>
              <c:numCache>
                <c:formatCode>General</c:formatCode>
                <c:ptCount val="2"/>
                <c:pt idx="0">
                  <c:v>718.97</c:v>
                </c:pt>
                <c:pt idx="1">
                  <c:v>917.19</c:v>
                </c:pt>
              </c:numCache>
            </c:numRef>
          </c:val>
          <c:smooth val="0"/>
        </c:ser>
        <c:dLbls>
          <c:showLegendKey val="0"/>
          <c:showVal val="0"/>
          <c:showCatName val="0"/>
          <c:showSerName val="0"/>
          <c:showPercent val="0"/>
          <c:showBubbleSize val="0"/>
        </c:dLbls>
        <c:marker val="1"/>
        <c:smooth val="0"/>
        <c:axId val="101577472"/>
        <c:axId val="137978624"/>
      </c:lineChart>
      <c:catAx>
        <c:axId val="10157747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7978624"/>
        <c:crosses val="autoZero"/>
        <c:auto val="1"/>
        <c:lblAlgn val="ctr"/>
        <c:lblOffset val="100"/>
        <c:noMultiLvlLbl val="0"/>
      </c:catAx>
      <c:valAx>
        <c:axId val="1379786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15774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25c9a3d-a463-415f-ab92-ea5c5f5a4027}"/>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Lbls>
            <c:delete val="1"/>
          </c:dLbls>
          <c:cat>
            <c:strRef>
              <c:f>Sheet1!$A$2:$A$5</c:f>
              <c:strCache>
                <c:ptCount val="4"/>
                <c:pt idx="0">
                  <c:v>财政拨款收入</c:v>
                </c:pt>
                <c:pt idx="1">
                  <c:v>事业收入</c:v>
                </c:pt>
                <c:pt idx="2">
                  <c:v>经营收入</c:v>
                </c:pt>
                <c:pt idx="3">
                  <c:v>其他收入</c:v>
                </c:pt>
              </c:strCache>
            </c:strRef>
          </c:cat>
          <c:val>
            <c:numRef>
              <c:f>Sheet1!$B$2:$B$5</c:f>
              <c:numCache>
                <c:formatCode>General</c:formatCode>
                <c:ptCount val="4"/>
                <c:pt idx="0">
                  <c:v>917.19</c:v>
                </c:pt>
                <c:pt idx="1">
                  <c:v>0</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e6842ae-743b-46cb-b738-3bd9fb508fef}"/>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explosion val="0"/>
          <c:dPt>
            <c:idx val="0"/>
            <c:bubble3D val="0"/>
          </c:dPt>
          <c:dPt>
            <c:idx val="1"/>
            <c:bubble3D val="0"/>
          </c:dPt>
          <c:dLbls>
            <c:delete val="1"/>
          </c:dLbls>
          <c:cat>
            <c:strRef>
              <c:f>Sheet1!$A$2:$A$3</c:f>
              <c:strCache>
                <c:ptCount val="2"/>
                <c:pt idx="0">
                  <c:v>基本支出</c:v>
                </c:pt>
                <c:pt idx="1">
                  <c:v>项目支出</c:v>
                </c:pt>
              </c:strCache>
            </c:strRef>
          </c:cat>
          <c:val>
            <c:numRef>
              <c:f>Sheet1!$B$2:$B$3</c:f>
              <c:numCache>
                <c:formatCode>General</c:formatCode>
                <c:ptCount val="2"/>
                <c:pt idx="0">
                  <c:v>795.1</c:v>
                </c:pt>
                <c:pt idx="1">
                  <c:v>3.2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e7745d9-e1af-4a6c-a4f6-c4f9e21fd87d}"/>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财政拨款收入</c:v>
                </c:pt>
              </c:strCache>
            </c:strRef>
          </c:tx>
          <c:marker>
            <c:symbol val="none"/>
          </c:marker>
          <c:dLbls>
            <c:delete val="1"/>
          </c:dLbls>
          <c:cat>
            <c:strRef>
              <c:f>Sheet1!$A$2:$A$3</c:f>
              <c:strCache>
                <c:ptCount val="2"/>
                <c:pt idx="0">
                  <c:v>2018年</c:v>
                </c:pt>
                <c:pt idx="1">
                  <c:v>2019年</c:v>
                </c:pt>
              </c:strCache>
            </c:strRef>
          </c:cat>
          <c:val>
            <c:numRef>
              <c:f>Sheet1!$B$2:$B$3</c:f>
              <c:numCache>
                <c:formatCode>General</c:formatCode>
                <c:ptCount val="2"/>
                <c:pt idx="0">
                  <c:v>718.97</c:v>
                </c:pt>
                <c:pt idx="1">
                  <c:v>917.19</c:v>
                </c:pt>
              </c:numCache>
            </c:numRef>
          </c:val>
          <c:smooth val="0"/>
        </c:ser>
        <c:ser>
          <c:idx val="1"/>
          <c:order val="1"/>
          <c:tx>
            <c:strRef>
              <c:f>Sheet1!$C$1</c:f>
              <c:strCache>
                <c:ptCount val="1"/>
                <c:pt idx="0">
                  <c:v>财政拨款支出</c:v>
                </c:pt>
              </c:strCache>
            </c:strRef>
          </c:tx>
          <c:marker>
            <c:symbol val="none"/>
          </c:marker>
          <c:dLbls>
            <c:delete val="1"/>
          </c:dLbls>
          <c:cat>
            <c:strRef>
              <c:f>Sheet1!$A$2:$A$3</c:f>
              <c:strCache>
                <c:ptCount val="2"/>
                <c:pt idx="0">
                  <c:v>2018年</c:v>
                </c:pt>
                <c:pt idx="1">
                  <c:v>2019年</c:v>
                </c:pt>
              </c:strCache>
            </c:strRef>
          </c:cat>
          <c:val>
            <c:numRef>
              <c:f>Sheet1!$C$2:$C$3</c:f>
              <c:numCache>
                <c:formatCode>General</c:formatCode>
                <c:ptCount val="2"/>
                <c:pt idx="0">
                  <c:v>718.97</c:v>
                </c:pt>
                <c:pt idx="1">
                  <c:v>917.19</c:v>
                </c:pt>
              </c:numCache>
            </c:numRef>
          </c:val>
          <c:smooth val="0"/>
        </c:ser>
        <c:dLbls>
          <c:showLegendKey val="0"/>
          <c:showVal val="0"/>
          <c:showCatName val="0"/>
          <c:showSerName val="0"/>
          <c:showPercent val="0"/>
          <c:showBubbleSize val="0"/>
        </c:dLbls>
        <c:marker val="0"/>
        <c:smooth val="0"/>
        <c:axId val="123144064"/>
        <c:axId val="123764736"/>
      </c:lineChart>
      <c:catAx>
        <c:axId val="1231440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764736"/>
        <c:crosses val="autoZero"/>
        <c:auto val="1"/>
        <c:lblAlgn val="ctr"/>
        <c:lblOffset val="100"/>
        <c:noMultiLvlLbl val="0"/>
      </c:catAx>
      <c:valAx>
        <c:axId val="1237647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1440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3e44aaf-9b5f-4229-bcd5-a2e88c81e499}"/>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预算</c:v>
                </c:pt>
              </c:strCache>
            </c:strRef>
          </c:tx>
          <c:invertIfNegative val="0"/>
          <c:dLbls>
            <c:delete val="1"/>
          </c:dLbls>
          <c:cat>
            <c:strRef>
              <c:f>Sheet1!$A$2:$A$7</c:f>
              <c:strCache>
                <c:ptCount val="6"/>
                <c:pt idx="0">
                  <c:v>整体</c:v>
                </c:pt>
                <c:pt idx="1">
                  <c:v>  行政运行</c:v>
                </c:pt>
                <c:pt idx="2">
                  <c:v>  人大会议</c:v>
                </c:pt>
                <c:pt idx="3">
                  <c:v>  人大监督</c:v>
                </c:pt>
                <c:pt idx="4">
                  <c:v>  人大代表履职能力提升</c:v>
                </c:pt>
                <c:pt idx="5">
                  <c:v>  代表工作</c:v>
                </c:pt>
              </c:strCache>
            </c:strRef>
          </c:cat>
          <c:val>
            <c:numRef>
              <c:f>Sheet1!$B$2:$B$7</c:f>
              <c:numCache>
                <c:formatCode>#,##0.00</c:formatCode>
                <c:ptCount val="6"/>
                <c:pt idx="0">
                  <c:v>561.68</c:v>
                </c:pt>
                <c:pt idx="1">
                  <c:v>424.08</c:v>
                </c:pt>
                <c:pt idx="2">
                  <c:v>102.5</c:v>
                </c:pt>
                <c:pt idx="3">
                  <c:v>24.1</c:v>
                </c:pt>
                <c:pt idx="4">
                  <c:v>6</c:v>
                </c:pt>
                <c:pt idx="5">
                  <c:v>5</c:v>
                </c:pt>
              </c:numCache>
            </c:numRef>
          </c:val>
        </c:ser>
        <c:ser>
          <c:idx val="1"/>
          <c:order val="1"/>
          <c:tx>
            <c:strRef>
              <c:f>Sheet1!$C$1</c:f>
              <c:strCache>
                <c:ptCount val="1"/>
                <c:pt idx="0">
                  <c:v>决算</c:v>
                </c:pt>
              </c:strCache>
            </c:strRef>
          </c:tx>
          <c:invertIfNegative val="0"/>
          <c:dLbls>
            <c:delete val="1"/>
          </c:dLbls>
          <c:cat>
            <c:strRef>
              <c:f>Sheet1!$A$2:$A$7</c:f>
              <c:strCache>
                <c:ptCount val="6"/>
                <c:pt idx="0">
                  <c:v>整体</c:v>
                </c:pt>
                <c:pt idx="1">
                  <c:v>  行政运行</c:v>
                </c:pt>
                <c:pt idx="2">
                  <c:v>  人大会议</c:v>
                </c:pt>
                <c:pt idx="3">
                  <c:v>  人大监督</c:v>
                </c:pt>
                <c:pt idx="4">
                  <c:v>  人大代表履职能力提升</c:v>
                </c:pt>
                <c:pt idx="5">
                  <c:v>  代表工作</c:v>
                </c:pt>
              </c:strCache>
            </c:strRef>
          </c:cat>
          <c:val>
            <c:numRef>
              <c:f>Sheet1!$C$2:$C$7</c:f>
              <c:numCache>
                <c:formatCode>#,##0.00</c:formatCode>
                <c:ptCount val="6"/>
                <c:pt idx="0">
                  <c:v>917.2</c:v>
                </c:pt>
                <c:pt idx="1">
                  <c:v>795.1</c:v>
                </c:pt>
                <c:pt idx="2">
                  <c:v>63.95</c:v>
                </c:pt>
                <c:pt idx="3">
                  <c:v>21.57</c:v>
                </c:pt>
                <c:pt idx="4">
                  <c:v>34.71</c:v>
                </c:pt>
                <c:pt idx="5">
                  <c:v>1.87</c:v>
                </c:pt>
              </c:numCache>
            </c:numRef>
          </c:val>
        </c:ser>
        <c:dLbls>
          <c:showLegendKey val="0"/>
          <c:showVal val="0"/>
          <c:showCatName val="0"/>
          <c:showSerName val="0"/>
          <c:showPercent val="0"/>
          <c:showBubbleSize val="0"/>
        </c:dLbls>
        <c:gapWidth val="150"/>
        <c:axId val="134520832"/>
        <c:axId val="134523136"/>
      </c:barChart>
      <c:catAx>
        <c:axId val="1345208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4523136"/>
        <c:crosses val="autoZero"/>
        <c:auto val="1"/>
        <c:lblAlgn val="ctr"/>
        <c:lblOffset val="100"/>
        <c:noMultiLvlLbl val="0"/>
      </c:catAx>
      <c:valAx>
        <c:axId val="13452313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45208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128d47c-527d-4a56-a0b2-a9ebf776f54b}"/>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1072</Words>
  <Characters>1129</Characters>
  <Lines>5</Lines>
  <Paragraphs>10</Paragraphs>
  <TotalTime>786</TotalTime>
  <ScaleCrop>false</ScaleCrop>
  <LinksUpToDate>false</LinksUpToDate>
  <CharactersWithSpaces>1135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2020-09-24T04:07:00Z</dcterms:created>
  <dc:creator>lenovo</dc:creator>
  <cp:lastModifiedBy>米小米</cp:lastModifiedBy>
  <cp:lastPrinted>2020-10-13T08:44:00Z</cp:lastPrinted>
  <dcterms:modified xsi:type="dcterms:W3CDTF">2026-01-04T06:43:55Z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eyJoZGlkIjoiOTVmZmZhZmQ4MmY1MGMxOTY2ZWU3MjcwNjJmMzgzYzQiLCJ1c2VySWQiOiIzMzE5Mzk5OTEifQ==</vt:lpwstr>
  </property>
  <property fmtid="{D5CDD505-2E9C-101B-9397-08002B2CF9AE}" pid="4" name="ICV">
    <vt:lpwstr>A2C188A442444EA69F714481C9BC2974_12</vt:lpwstr>
  </property>
</Properties>
</file>