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D4ADB">
      <w:pPr>
        <w:rPr>
          <w:rFonts w:hint="default" w:ascii="Times New Roman" w:hAnsi="Times New Roman" w:eastAsia="黑体" w:cs="Times New Roman"/>
          <w:szCs w:val="32"/>
        </w:rPr>
      </w:pPr>
      <w:r>
        <w:rPr>
          <w:rFonts w:hint="default" w:ascii="Times New Roman" w:hAnsi="Times New Roman" w:eastAsia="黑体" w:cs="Times New Roman"/>
          <w:szCs w:val="32"/>
        </w:rPr>
        <w:t>附件1</w:t>
      </w:r>
    </w:p>
    <w:p w14:paraId="27E42538">
      <w:pPr>
        <w:spacing w:line="440" w:lineRule="exact"/>
        <w:jc w:val="center"/>
        <w:rPr>
          <w:rFonts w:hint="default" w:ascii="Times New Roman" w:hAnsi="Times New Roman" w:cs="Times New Roman"/>
          <w:b/>
          <w:bCs/>
          <w:sz w:val="44"/>
          <w:szCs w:val="44"/>
        </w:rPr>
      </w:pPr>
    </w:p>
    <w:p w14:paraId="26C56838">
      <w:pPr>
        <w:snapToGrid w:val="0"/>
        <w:spacing w:after="115" w:afterLines="20" w:line="576" w:lineRule="exact"/>
        <w:jc w:val="center"/>
        <w:rPr>
          <w:rFonts w:hint="eastAsia" w:ascii="Arial" w:hAnsi="Arial" w:eastAsia="方正小标宋简体" w:cs="Arial"/>
          <w:spacing w:val="30"/>
          <w:sz w:val="44"/>
          <w:szCs w:val="44"/>
          <w:lang w:val="en-US" w:eastAsia="zh-CN"/>
        </w:rPr>
      </w:pPr>
      <w:r>
        <w:rPr>
          <w:rFonts w:hint="default" w:ascii="Times New Roman" w:hAnsi="Times New Roman" w:eastAsia="方正小标宋简体" w:cs="Times New Roman"/>
          <w:spacing w:val="30"/>
          <w:sz w:val="44"/>
          <w:szCs w:val="44"/>
        </w:rPr>
        <w:t>西安市灞桥区</w:t>
      </w:r>
      <w:r>
        <w:rPr>
          <w:rFonts w:hint="eastAsia" w:ascii="Arial" w:hAnsi="Arial" w:eastAsia="方正小标宋简体" w:cs="Arial"/>
          <w:spacing w:val="30"/>
          <w:sz w:val="44"/>
          <w:szCs w:val="44"/>
          <w:lang w:val="en-US" w:eastAsia="zh-CN"/>
        </w:rPr>
        <w:t>科学技术协会</w:t>
      </w:r>
    </w:p>
    <w:p w14:paraId="772A7610">
      <w:pPr>
        <w:snapToGrid w:val="0"/>
        <w:spacing w:after="115" w:afterLines="20" w:line="576" w:lineRule="exact"/>
        <w:jc w:val="center"/>
        <w:rPr>
          <w:rFonts w:hint="eastAsia" w:ascii="Times New Roman" w:hAnsi="Times New Roman" w:eastAsia="方正小标宋简体" w:cs="Times New Roman"/>
          <w:spacing w:val="30"/>
          <w:sz w:val="44"/>
          <w:szCs w:val="44"/>
          <w:lang w:val="en-US" w:eastAsia="zh-CN"/>
        </w:rPr>
      </w:pPr>
      <w:r>
        <w:rPr>
          <w:rFonts w:hint="eastAsia" w:ascii="方正小标宋简体" w:hAnsi="方正小标宋简体" w:eastAsia="方正小标宋简体" w:cs="方正小标宋简体"/>
          <w:b w:val="0"/>
          <w:bCs w:val="0"/>
          <w:sz w:val="44"/>
          <w:szCs w:val="44"/>
        </w:rPr>
        <w:t>2019</w:t>
      </w:r>
      <w:r>
        <w:rPr>
          <w:rFonts w:hint="default" w:ascii="Times New Roman" w:hAnsi="Times New Roman" w:eastAsia="方正小标宋简体" w:cs="Times New Roman"/>
          <w:spacing w:val="30"/>
          <w:sz w:val="44"/>
          <w:szCs w:val="44"/>
        </w:rPr>
        <w:t>年度部门决算</w:t>
      </w:r>
      <w:r>
        <w:rPr>
          <w:rFonts w:hint="eastAsia" w:ascii="Times New Roman" w:hAnsi="Times New Roman" w:eastAsia="方正小标宋简体" w:cs="Times New Roman"/>
          <w:spacing w:val="30"/>
          <w:sz w:val="44"/>
          <w:szCs w:val="44"/>
          <w:lang w:val="en-US" w:eastAsia="zh-CN"/>
        </w:rPr>
        <w:t>公开</w:t>
      </w:r>
    </w:p>
    <w:p w14:paraId="3E6F55FB">
      <w:pPr>
        <w:spacing w:line="400" w:lineRule="exact"/>
        <w:rPr>
          <w:rFonts w:hint="default" w:ascii="Times New Roman" w:hAnsi="Times New Roman" w:cs="Times New Roman"/>
          <w:b/>
          <w:bCs/>
          <w:szCs w:val="32"/>
        </w:rPr>
      </w:pPr>
    </w:p>
    <w:p w14:paraId="017C013B">
      <w:pPr>
        <w:numPr>
          <w:ilvl w:val="0"/>
          <w:numId w:val="1"/>
        </w:numPr>
        <w:jc w:val="center"/>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部门概况</w:t>
      </w:r>
    </w:p>
    <w:p w14:paraId="2BF6AFB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一、部门主要职责及内设机构</w:t>
      </w:r>
    </w:p>
    <w:p w14:paraId="09E244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640" w:firstLineChars="20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根据三定方案（灞编发[2016]13号），西安市灞桥区科学技术协会是在区委领导下的全区科学技术工作者的群众团体组织，是区委、区政府联系广大科技工作者的桥梁和纽带。其主要职责是：坚持党的领导，组织全区科技工作者以经济建设为中心，为推进科技、经济和社会发展服务；普及科学知识，传播科学思想和科学方法，提高全区公众科学文化素养，为建设西安国际化大都市东部生态新城服务；广泛开展青少年科技教育活动，培养具有创新能力的科技后备人才；负责指导青少年科普教育示范学校和示范基地建设；开展先进实用技术培训、推广工作和咨询服务，接受委托承担项目评估、科技成果鉴定，促进科技成果转化，协助有关部门开展专业技术职务资格评审；开展科学技术交流，活跃学术思想，繁荣学术园地，促进科学发展、知识创新；对基层科协组织进行业务指导；加强科普组织网络及队伍建设；引导科技工作者在管理政府和社会事务中发挥作用，组织科技工作者参与本区科学技术政策制定和政治协商、民主监督工作，促进决策科学化、民主化；反映科技工作者的呼声、要求和建议，维护科技工作者的合法权益，建设好全区科技工作者之家，全心全意为科技工作者服务；表彰、宣传优秀科技学者，推荐人才，开展科技工作者的继续教育和培训工作；完成区委及上级部门交办的其它工作任务。</w:t>
      </w:r>
    </w:p>
    <w:p w14:paraId="0CB2A92B">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部门决算单位构成</w:t>
      </w:r>
    </w:p>
    <w:p w14:paraId="245E0D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739" w:firstLineChars="231"/>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年度，纳入本部门决算汇编范围的独立核算单位共1个，单位基本性质是行政单位，执行行政单位会计制度，属一级预算单位。</w:t>
      </w:r>
    </w:p>
    <w:p w14:paraId="5438C4E1">
      <w:pPr>
        <w:keepNext w:val="0"/>
        <w:keepLines w:val="0"/>
        <w:pageBreakBefore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部门人员情况</w:t>
      </w:r>
    </w:p>
    <w:p w14:paraId="522CC7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截止201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年底，本部门人员编制3人，其中行政编制3人；实有人员3人，其中行政3人。单位管理的离退休人员4人。</w:t>
      </w:r>
    </w:p>
    <w:p w14:paraId="1B2C70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rPr>
          <w:rFonts w:hint="default" w:ascii="仿宋" w:hAnsi="仿宋" w:eastAsia="仿宋" w:cs="仿宋"/>
          <w:i w:val="0"/>
          <w:caps w:val="0"/>
          <w:color w:val="333333"/>
          <w:spacing w:val="0"/>
          <w:sz w:val="32"/>
          <w:szCs w:val="32"/>
          <w:shd w:val="clear" w:fill="FFFFFF"/>
        </w:rPr>
      </w:pPr>
      <w:r>
        <w:rPr>
          <w:rFonts w:hint="eastAsia"/>
          <w:lang w:val="en-US" w:eastAsia="zh-CN"/>
        </w:rPr>
        <w:t xml:space="preserve">       </w:t>
      </w:r>
      <w:r>
        <w:drawing>
          <wp:inline distT="0" distB="0" distL="114300" distR="114300">
            <wp:extent cx="3644265" cy="2222500"/>
            <wp:effectExtent l="4445" t="4445" r="8890"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B21EE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rPr>
      </w:pPr>
      <w:r>
        <w:rPr>
          <w:rFonts w:hint="eastAsia" w:ascii="黑体" w:hAnsi="黑体" w:eastAsia="黑体" w:cs="黑体"/>
          <w:b/>
          <w:bCs/>
        </w:rPr>
        <w:t>四、2019年度部门工作完成情况</w:t>
      </w:r>
    </w:p>
    <w:p w14:paraId="52FAC4BB">
      <w:pPr>
        <w:pStyle w:val="18"/>
        <w:widowControl/>
        <w:spacing w:line="560" w:lineRule="exact"/>
        <w:ind w:firstLine="640"/>
        <w:jc w:val="left"/>
        <w:rPr>
          <w:rFonts w:ascii="方正楷体_GBK" w:hAnsi="宋体" w:eastAsia="方正楷体_GBK" w:cs="宋体"/>
          <w:b/>
          <w:bCs/>
          <w:color w:val="343434"/>
          <w:kern w:val="0"/>
          <w:sz w:val="32"/>
          <w:szCs w:val="32"/>
        </w:rPr>
      </w:pPr>
      <w:r>
        <w:rPr>
          <w:rFonts w:hint="eastAsia" w:ascii="方正楷体_GBK" w:hAnsi="宋体" w:eastAsia="方正楷体_GBK" w:cs="宋体"/>
          <w:b/>
          <w:bCs/>
          <w:color w:val="343434"/>
          <w:kern w:val="0"/>
          <w:sz w:val="32"/>
          <w:szCs w:val="32"/>
        </w:rPr>
        <w:t>（一）实施科学素质纲要</w:t>
      </w:r>
    </w:p>
    <w:p w14:paraId="7E6294D0">
      <w:pPr>
        <w:spacing w:line="560" w:lineRule="exact"/>
        <w:rPr>
          <w:rFonts w:ascii="仿宋_GB2312" w:hAnsi="Arial" w:eastAsia="仿宋_GB2312" w:cs="Arial"/>
          <w:sz w:val="32"/>
          <w:szCs w:val="32"/>
        </w:rPr>
      </w:pPr>
      <w:r>
        <w:rPr>
          <w:rFonts w:hint="eastAsia" w:ascii="仿宋_GB2312" w:hAnsi="仿宋_GB2312" w:eastAsia="仿宋_GB2312" w:cs="仿宋_GB2312"/>
          <w:sz w:val="32"/>
          <w:szCs w:val="32"/>
        </w:rPr>
        <w:t xml:space="preserve">    区委区政府对实施《纲要》工作高度重视，明确了各成员单位分管全民科学素质工作的领导和部门职责，各成员单位按照《中共西安市灞桥区委办公室、西安市灞桥区人民政府办公室关于印发全民科学素质行动计划纲要实施方案（2016—2020）的通知》（灞办字〔2017〕10号），扎实开展工作，年初对各项目标任务进行了分解落实，年中纲要办督促指导工作进展，年终有总结并安排下年度工作，为全民科学素质工作的开展提供了有力保障。</w:t>
      </w:r>
    </w:p>
    <w:p w14:paraId="18D80677">
      <w:pPr>
        <w:spacing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纲要办认真履行职能，不断完善各项工作机制，联合各牵头单位和责任单位，加强统筹协调和联络服务，积极推进《纲要》在我区的深入贯彻与实施。联合开展了灞桥区第27届科技之春宣传月、2019年全国科普日、“全国科技工作者日”等活动，各成员单位结合实际开展了丰富的活动。农业农村局联合白鹿塬樱桃协会、东塬农业科技发展有限公司向我区狄寨街办的村民开展大樱桃丰产栽培及测土配方施肥技术科普专座培训，</w:t>
      </w:r>
      <w:r>
        <w:rPr>
          <w:rFonts w:hint="eastAsia" w:ascii="仿宋_GB2312" w:hAnsi="Arial" w:eastAsia="仿宋_GB2312" w:cs="Arial"/>
          <w:kern w:val="0"/>
          <w:sz w:val="32"/>
          <w:szCs w:val="32"/>
        </w:rPr>
        <w:t>区气象局邀请东李小学师生参观，让孩子们了解有关“世界气象日”的科普知识；</w:t>
      </w:r>
      <w:r>
        <w:rPr>
          <w:rFonts w:hint="eastAsia" w:ascii="仿宋_GB2312" w:hAnsi="Arial" w:eastAsia="仿宋_GB2312" w:cs="Arial"/>
          <w:sz w:val="32"/>
          <w:szCs w:val="32"/>
        </w:rPr>
        <w:t>区科协联合纺织城街办邀请第四军医大学史永亮教授以《健康生活，成就健康》为内容，用贴近生活且科学的养生方法为市民带来健康，从而调动城镇劳动者对科普知识学习的积极性。其他成员单位结合工作实际开展了内容丰富、形式多样的活动，由于各成员单位共同努力，灞桥区“科技之春”和全国科普日活动分别被省市评为先进组织单位。</w:t>
      </w:r>
    </w:p>
    <w:p w14:paraId="61D846A9">
      <w:pPr>
        <w:widowControl/>
        <w:spacing w:line="560" w:lineRule="exact"/>
        <w:ind w:firstLine="640"/>
        <w:jc w:val="left"/>
        <w:rPr>
          <w:rFonts w:ascii="方正楷体_GBK" w:hAnsi="宋体" w:eastAsia="方正楷体_GBK" w:cs="宋体"/>
          <w:b/>
          <w:bCs/>
          <w:color w:val="343434"/>
          <w:kern w:val="0"/>
          <w:sz w:val="32"/>
          <w:szCs w:val="32"/>
        </w:rPr>
      </w:pPr>
      <w:r>
        <w:rPr>
          <w:rFonts w:hint="eastAsia" w:ascii="方正楷体_GBK" w:hAnsi="宋体" w:eastAsia="方正楷体_GBK" w:cs="宋体"/>
          <w:b/>
          <w:bCs/>
          <w:color w:val="343434"/>
          <w:kern w:val="0"/>
          <w:sz w:val="32"/>
          <w:szCs w:val="32"/>
        </w:rPr>
        <w:t>（二）精心开展主题科普活动</w:t>
      </w:r>
    </w:p>
    <w:p w14:paraId="0CD9D741">
      <w:pPr>
        <w:adjustRightInd w:val="0"/>
        <w:snapToGrid w:val="0"/>
        <w:spacing w:line="560" w:lineRule="exact"/>
        <w:ind w:firstLine="640" w:firstLineChars="200"/>
        <w:jc w:val="left"/>
        <w:rPr>
          <w:rFonts w:ascii="仿宋_GB2312" w:hAnsi="Arial" w:eastAsia="仿宋_GB2312" w:cs="Arial"/>
          <w:sz w:val="32"/>
          <w:szCs w:val="32"/>
        </w:rPr>
      </w:pPr>
      <w:r>
        <w:rPr>
          <w:rFonts w:hint="eastAsia" w:ascii="仿宋_GB2312" w:hAnsi="Arial" w:eastAsia="仿宋_GB2312" w:cs="Arial"/>
          <w:sz w:val="32"/>
          <w:szCs w:val="32"/>
        </w:rPr>
        <w:t>积极开展“科技之春”、全国科普日活动，以纲要办名义下发了《关于开展灞桥区第二十七届“科技之春”宣传月活动的通知》（全民科学素质办发〔</w:t>
      </w:r>
      <w:r>
        <w:rPr>
          <w:rFonts w:ascii="仿宋_GB2312" w:hAnsi="Arial" w:eastAsia="仿宋_GB2312" w:cs="Arial"/>
          <w:sz w:val="32"/>
          <w:szCs w:val="32"/>
        </w:rPr>
        <w:t>2019</w:t>
      </w:r>
      <w:r>
        <w:rPr>
          <w:rFonts w:hint="eastAsia" w:ascii="仿宋_GB2312" w:hAnsi="Arial" w:eastAsia="仿宋_GB2312" w:cs="Arial"/>
          <w:sz w:val="32"/>
          <w:szCs w:val="32"/>
        </w:rPr>
        <w:t>〕</w:t>
      </w:r>
      <w:r>
        <w:rPr>
          <w:rFonts w:ascii="仿宋_GB2312" w:hAnsi="Arial" w:eastAsia="仿宋_GB2312" w:cs="Arial"/>
          <w:sz w:val="32"/>
          <w:szCs w:val="32"/>
        </w:rPr>
        <w:t>1</w:t>
      </w:r>
      <w:r>
        <w:rPr>
          <w:rFonts w:hint="eastAsia" w:ascii="仿宋_GB2312" w:hAnsi="Arial" w:eastAsia="仿宋_GB2312" w:cs="Arial"/>
          <w:sz w:val="32"/>
          <w:szCs w:val="32"/>
        </w:rPr>
        <w:t>号）、《关于举办灞桥区</w:t>
      </w:r>
      <w:r>
        <w:rPr>
          <w:rFonts w:ascii="仿宋_GB2312" w:hAnsi="Arial" w:eastAsia="仿宋_GB2312" w:cs="Arial"/>
          <w:sz w:val="32"/>
          <w:szCs w:val="32"/>
        </w:rPr>
        <w:t>2019</w:t>
      </w:r>
      <w:r>
        <w:rPr>
          <w:rFonts w:hint="eastAsia" w:ascii="仿宋_GB2312" w:hAnsi="Arial" w:eastAsia="仿宋_GB2312" w:cs="Arial"/>
          <w:sz w:val="32"/>
          <w:szCs w:val="32"/>
        </w:rPr>
        <w:t>年全国科普日活动的通知》（全民科学素质办发〔</w:t>
      </w:r>
      <w:r>
        <w:rPr>
          <w:rFonts w:ascii="仿宋_GB2312" w:hAnsi="Arial" w:eastAsia="仿宋_GB2312" w:cs="Arial"/>
          <w:sz w:val="32"/>
          <w:szCs w:val="32"/>
        </w:rPr>
        <w:t>2019</w:t>
      </w:r>
      <w:r>
        <w:rPr>
          <w:rFonts w:hint="eastAsia" w:ascii="仿宋_GB2312" w:hAnsi="Arial" w:eastAsia="仿宋_GB2312" w:cs="Arial"/>
          <w:sz w:val="32"/>
          <w:szCs w:val="32"/>
        </w:rPr>
        <w:t>〕</w:t>
      </w:r>
      <w:r>
        <w:rPr>
          <w:rFonts w:ascii="仿宋_GB2312" w:hAnsi="Arial" w:eastAsia="仿宋_GB2312" w:cs="Arial"/>
          <w:sz w:val="32"/>
          <w:szCs w:val="32"/>
        </w:rPr>
        <w:t>6</w:t>
      </w:r>
      <w:r>
        <w:rPr>
          <w:rFonts w:hint="eastAsia" w:ascii="仿宋_GB2312" w:hAnsi="Arial" w:eastAsia="仿宋_GB2312" w:cs="Arial"/>
          <w:sz w:val="32"/>
          <w:szCs w:val="32"/>
        </w:rPr>
        <w:t>号），明确任务，落实责任。在各项活动期间，共有5000余人次科技人员深入到街道、社区、农村、企业、学校开展科普惠民活动，开展科普活动 88项，发放各类科普文化图书、资料31500余本（份、张），惠民用品14100份。在全区营造了“学科学、讲科学、爱科学、用科学”的浓厚氛围。</w:t>
      </w:r>
    </w:p>
    <w:p w14:paraId="0BE1E120">
      <w:pPr>
        <w:widowControl/>
        <w:spacing w:line="560" w:lineRule="exact"/>
        <w:ind w:firstLine="640"/>
        <w:jc w:val="left"/>
        <w:rPr>
          <w:rFonts w:ascii="方正楷体_GBK" w:hAnsi="宋体" w:eastAsia="方正楷体_GBK" w:cs="宋体"/>
          <w:b/>
          <w:bCs/>
          <w:color w:val="343434"/>
          <w:kern w:val="0"/>
          <w:sz w:val="32"/>
          <w:szCs w:val="32"/>
        </w:rPr>
      </w:pPr>
      <w:r>
        <w:rPr>
          <w:rFonts w:hint="eastAsia" w:ascii="方正楷体_GBK" w:hAnsi="宋体" w:eastAsia="方正楷体_GBK" w:cs="宋体"/>
          <w:b/>
          <w:bCs/>
          <w:color w:val="343434"/>
          <w:kern w:val="0"/>
          <w:sz w:val="32"/>
          <w:szCs w:val="32"/>
        </w:rPr>
        <w:t>（三）推进科普信息化工作</w:t>
      </w:r>
    </w:p>
    <w:p w14:paraId="186FF5AA">
      <w:pPr>
        <w:ind w:firstLine="640" w:firstLineChars="200"/>
        <w:rPr>
          <w:rFonts w:ascii="仿宋_GB2312" w:eastAsia="仿宋_GB2312"/>
          <w:sz w:val="32"/>
          <w:szCs w:val="32"/>
        </w:rPr>
      </w:pPr>
      <w:r>
        <w:rPr>
          <w:rFonts w:hint="eastAsia" w:ascii="仿宋_GB2312" w:eastAsia="仿宋_GB2312"/>
          <w:sz w:val="32"/>
          <w:szCs w:val="32"/>
        </w:rPr>
        <w:t>以“科普中国”落地应用为重点，着力建设“科普中国”移动端传播体系。在灞桥区人民政府网连接科普中国栏，与生态灞桥公众号建立密切联系，开展科普网络活动。实现“科普中国”APP装机量285次，认证科普志愿者285人；传播分享“科普中国”内容6363篇，组织科普信息员培训1次。向市科协争取2019年度“科普中国e站建设”资金21万元，“社区科普益民计划”3万元，按照五有标准，在区政务服务中心、街道、社区、学校建设科普中国e站共8个。截</w:t>
      </w:r>
      <w:r>
        <w:rPr>
          <w:rFonts w:hint="eastAsia" w:ascii="仿宋_GB2312" w:eastAsia="仿宋_GB2312"/>
          <w:sz w:val="32"/>
          <w:szCs w:val="32"/>
          <w:lang w:val="en-US" w:eastAsia="zh-CN"/>
        </w:rPr>
        <w:t>至</w:t>
      </w:r>
      <w:r>
        <w:rPr>
          <w:rFonts w:hint="eastAsia" w:ascii="仿宋_GB2312" w:eastAsia="仿宋_GB2312"/>
          <w:sz w:val="32"/>
          <w:szCs w:val="32"/>
        </w:rPr>
        <w:t>目前全区共有科普e站20个，由区科协统一管理，指导各单位结合e站开展了丰富的活动，核锻社区利用缴纳医保工作开展e站宣传，东城第二小学在每天下午第二堂课后，组织学生到e站浏览相关学习内容，并进行详细记录；区科协联合洪庆街道及所辖e站开展灞桥区科普e站&amp;微信公众平台“全国科普日”网络有奖知识竞赛活动，活动通过生态灞桥微信公众号持续发布，共有8981人次参与，110人获奖，此项活动被评为市级全国科普日优秀活动。</w:t>
      </w:r>
    </w:p>
    <w:p w14:paraId="10E9B991">
      <w:pPr>
        <w:spacing w:line="560" w:lineRule="exact"/>
        <w:ind w:firstLine="643" w:firstLineChars="200"/>
        <w:rPr>
          <w:rFonts w:ascii="楷体" w:hAnsi="楷体" w:eastAsia="楷体" w:cs="楷体"/>
          <w:b/>
          <w:bCs w:val="0"/>
          <w:sz w:val="32"/>
          <w:szCs w:val="32"/>
        </w:rPr>
      </w:pPr>
      <w:r>
        <w:rPr>
          <w:rFonts w:hint="eastAsia" w:ascii="楷体" w:hAnsi="楷体" w:eastAsia="楷体" w:cs="楷体"/>
          <w:b/>
          <w:bCs w:val="0"/>
          <w:sz w:val="32"/>
          <w:szCs w:val="32"/>
        </w:rPr>
        <w:t>（四）加强对科技工作者的联系和服务</w:t>
      </w:r>
    </w:p>
    <w:p w14:paraId="15FA2B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推荐航天动力技术研究院董新刚等5人参加西安市十佳科技人物评选。发挥科协</w:t>
      </w:r>
      <w:r>
        <w:rPr>
          <w:rFonts w:hint="eastAsia" w:ascii="仿宋_GB2312" w:eastAsia="仿宋_GB2312"/>
          <w:sz w:val="32"/>
          <w:szCs w:val="32"/>
        </w:rPr>
        <w:t>组织桥梁纽带作用,在</w:t>
      </w:r>
      <w:r>
        <w:rPr>
          <w:rFonts w:hint="eastAsia" w:ascii="仿宋" w:hAnsi="仿宋" w:eastAsia="仿宋" w:cs="仿宋"/>
          <w:sz w:val="32"/>
          <w:szCs w:val="32"/>
        </w:rPr>
        <w:t>2019年“全国科技工作者日”期间，区科协看望慰问纳入“三长制”的院长、校长、站长和市科协九大代表。建立科技工作者联系制度，区科协主席联系东李樱桃协会会长李焕民，为其赠送《大樱桃丰产栽培技术》近300册，协调申报基层科普行动计划，为协会争取市级科普资金5万元，指导李焕民带领协会成员在科技助力精准扶贫工作中发挥示范带动作用。</w:t>
      </w:r>
    </w:p>
    <w:p w14:paraId="19B37FC6">
      <w:pPr>
        <w:spacing w:line="560" w:lineRule="exact"/>
        <w:ind w:firstLine="643" w:firstLineChars="200"/>
        <w:rPr>
          <w:rFonts w:ascii="楷体" w:hAnsi="楷体" w:eastAsia="楷体" w:cs="楷体"/>
          <w:b/>
          <w:bCs w:val="0"/>
          <w:color w:val="000000"/>
          <w:sz w:val="32"/>
          <w:szCs w:val="32"/>
          <w:lang w:val="zh-CN"/>
        </w:rPr>
      </w:pPr>
      <w:r>
        <w:rPr>
          <w:rFonts w:hint="eastAsia" w:ascii="楷体" w:hAnsi="楷体" w:eastAsia="楷体" w:cs="楷体"/>
          <w:b/>
          <w:bCs w:val="0"/>
          <w:color w:val="000000"/>
          <w:sz w:val="32"/>
          <w:szCs w:val="32"/>
          <w:lang w:val="zh-CN"/>
        </w:rPr>
        <w:t>（五）</w:t>
      </w:r>
      <w:r>
        <w:rPr>
          <w:rFonts w:ascii="楷体" w:hAnsi="楷体" w:eastAsia="楷体" w:cs="楷体"/>
          <w:b/>
          <w:bCs w:val="0"/>
          <w:color w:val="000000"/>
          <w:sz w:val="32"/>
          <w:szCs w:val="32"/>
          <w:lang w:val="zh-CN"/>
        </w:rPr>
        <w:t>加强青少年科技教育</w:t>
      </w:r>
    </w:p>
    <w:p w14:paraId="1CC1C34E">
      <w:pPr>
        <w:spacing w:line="560" w:lineRule="exact"/>
        <w:ind w:firstLine="640" w:firstLineChars="200"/>
        <w:rPr>
          <w:rFonts w:ascii="仿宋_GB2312" w:eastAsia="仿宋_GB2312"/>
          <w:sz w:val="32"/>
          <w:szCs w:val="32"/>
        </w:rPr>
      </w:pPr>
      <w:r>
        <w:rPr>
          <w:rFonts w:hint="eastAsia" w:ascii="仿宋_GB2312" w:eastAsia="仿宋_GB2312"/>
          <w:sz w:val="32"/>
          <w:szCs w:val="32"/>
        </w:rPr>
        <w:t>牵头开展青少年科普活动，促进席王中心小学和铁一中滨河学校结成科技创新对子，开展了“滋水河畔探奥秘、科普自然引成长”活动；支持34中开展“走进中南 解读秦岭”科技实践活动；结合主题科普活动，邵平店小学开展科普展览会，十里铺小学和席王中心小学与陕西自然博物馆开展联动科普活动。</w:t>
      </w:r>
    </w:p>
    <w:p w14:paraId="16524FBE">
      <w:pPr>
        <w:spacing w:line="560" w:lineRule="exact"/>
        <w:ind w:firstLine="640"/>
        <w:rPr>
          <w:rFonts w:ascii="仿宋" w:hAnsi="仿宋" w:eastAsia="仿宋" w:cs="仿宋"/>
          <w:sz w:val="32"/>
          <w:szCs w:val="32"/>
          <w:u w:val="single"/>
        </w:rPr>
      </w:pPr>
      <w:r>
        <w:rPr>
          <w:rFonts w:hint="eastAsia" w:ascii="仿宋" w:hAnsi="仿宋" w:eastAsia="仿宋" w:cs="仿宋"/>
          <w:sz w:val="32"/>
          <w:szCs w:val="32"/>
          <w:lang w:val="zh-CN"/>
        </w:rPr>
        <w:t>联合教育局开展青少年科技创新大赛，聘请交大附中刘全铭等优秀科技辅导员组成专家评审组，组织科技辅导员现场观摩，现场评审，公开公正，最终从上报的</w:t>
      </w:r>
      <w:r>
        <w:rPr>
          <w:rFonts w:hint="eastAsia" w:ascii="仿宋" w:hAnsi="仿宋" w:eastAsia="仿宋" w:cs="仿宋"/>
          <w:sz w:val="32"/>
          <w:szCs w:val="32"/>
        </w:rPr>
        <w:t>1170件作品中评出区级奖项217项，优选出130件作品上报市科协。我区获得市级奖项124个，其中一等奖23个,获得省级奖项15个，其中一等奖3个。选送纺织城小学等4所学校22件机器人竞赛作品，参加第四届西安市机器人大赛，共获得市级奖项22项。</w:t>
      </w:r>
    </w:p>
    <w:p w14:paraId="0D4D1744">
      <w:pPr>
        <w:spacing w:line="560" w:lineRule="exact"/>
        <w:ind w:firstLine="643" w:firstLineChars="200"/>
        <w:rPr>
          <w:rFonts w:ascii="楷体" w:hAnsi="楷体" w:eastAsia="楷体" w:cs="楷体"/>
          <w:b/>
          <w:bCs w:val="0"/>
          <w:color w:val="000000"/>
          <w:sz w:val="32"/>
          <w:szCs w:val="32"/>
          <w:lang w:val="zh-CN"/>
        </w:rPr>
      </w:pPr>
      <w:r>
        <w:rPr>
          <w:rFonts w:hint="eastAsia" w:ascii="楷体" w:hAnsi="楷体" w:eastAsia="楷体" w:cs="楷体"/>
          <w:b/>
          <w:bCs w:val="0"/>
          <w:color w:val="000000"/>
          <w:sz w:val="32"/>
          <w:szCs w:val="32"/>
          <w:lang w:val="zh-CN"/>
        </w:rPr>
        <w:t>（六）提升社区科普教育管理水平</w:t>
      </w:r>
    </w:p>
    <w:p w14:paraId="7CD0C129">
      <w:pPr>
        <w:ind w:firstLine="645"/>
        <w:rPr>
          <w:rFonts w:ascii="仿宋_GB2312" w:eastAsia="仿宋_GB2312"/>
          <w:sz w:val="32"/>
          <w:szCs w:val="32"/>
        </w:rPr>
      </w:pPr>
      <w:r>
        <w:rPr>
          <w:rFonts w:hint="eastAsia" w:ascii="仿宋_GB2312" w:eastAsia="仿宋_GB2312"/>
          <w:sz w:val="32"/>
          <w:szCs w:val="32"/>
        </w:rPr>
        <w:t>及时掌握社区工作情况，推荐李家堡社区成功申报为西安市科普示范社区；印刷《甲醇知识问答》2000册，通过社区向居民大力宣传新能源知识；全年为社区发放挂图6次共240套；结合主题科普活动，指导社区开展科普活动6次，核锻社区联合中陕211大队，组织社区居民到211单位展览中心开展科普参观学习，航天四院、汽配社区开展应急急救科普培训、核锻、洪庆新村、朝阳等社区通过设立科普展板，发放资料，开展咨询宣传活动。</w:t>
      </w:r>
    </w:p>
    <w:p w14:paraId="02307037">
      <w:pPr>
        <w:ind w:firstLine="640" w:firstLineChars="200"/>
        <w:rPr>
          <w:rFonts w:ascii="仿宋_GB2312" w:eastAsia="仿宋_GB2312"/>
          <w:sz w:val="32"/>
          <w:szCs w:val="32"/>
        </w:rPr>
      </w:pPr>
      <w:r>
        <w:rPr>
          <w:rFonts w:hint="eastAsia" w:ascii="仿宋_GB2312" w:eastAsia="仿宋_GB2312"/>
          <w:sz w:val="32"/>
          <w:szCs w:val="32"/>
        </w:rPr>
        <w:t>今年，灞桥区社区科普大学已经成立了10年了，从市科协开始评优以来，灞桥区分校连年被评为市级先进分校。为了巩固已经取得的成绩，进一步提升社区科普教育管理水平，区科协扎实推进社区科普工作。一是做好社区科普大学教学管理，今年每个教学点每学期授课11次，全年10个教学点共授课220次，共有8000余人次听讲,内容以科普养生、健康生活、旅游、摄影、法律等为主。开展第二课堂4次，近200人参加。二是组织纺织城街道和洪庆新村、朝阳社区等赴莲湖区参观学习，西仪社区的先进管理对我区参观者有很大启发，对我区今后工作有很好的借鉴作用。三是组织10个社区教学点参加西安市区县科协及社区科普管理人员培训会，我区六棉、核锻社区分别在会上做了社区科普工作和科普中国社区e站的交流发言，我区社区科普工作得到市科协领导和区县同仁的肯定和赞扬。</w:t>
      </w:r>
    </w:p>
    <w:p w14:paraId="6D2FC53C">
      <w:pPr>
        <w:spacing w:line="560" w:lineRule="exact"/>
        <w:ind w:firstLine="643" w:firstLineChars="200"/>
        <w:rPr>
          <w:rFonts w:ascii="楷体" w:hAnsi="楷体" w:eastAsia="楷体" w:cs="楷体"/>
          <w:b/>
          <w:bCs w:val="0"/>
          <w:sz w:val="32"/>
          <w:szCs w:val="32"/>
        </w:rPr>
      </w:pPr>
      <w:r>
        <w:rPr>
          <w:rFonts w:hint="eastAsia" w:ascii="楷体" w:hAnsi="楷体" w:eastAsia="楷体" w:cs="楷体"/>
          <w:b/>
          <w:bCs w:val="0"/>
          <w:sz w:val="32"/>
          <w:szCs w:val="32"/>
        </w:rPr>
        <w:t>（七）实施基层科普行动计划</w:t>
      </w:r>
    </w:p>
    <w:p w14:paraId="38A073DD">
      <w:pPr>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通过积极组织申报，共争取“基层科普行动计划”奖补资金68.6万元，涉及科普惠农计划、社区科普益民计划、科普中国e站建设、科普电子画廊建设和社区科普大学补助等方面，目前第一批奖补资金44.6万元涉项目单位已经实施，第二批奖补资金24万元尚未下拨。在第一批实施的项目共建设科普中国e站8个，同时加强了社区科普大学阵地建设，开展了农民新品种新技术引进和推广等，有力的支持了我区科普工作的发展。</w:t>
      </w:r>
    </w:p>
    <w:p w14:paraId="7869BE46">
      <w:pPr>
        <w:widowControl/>
        <w:spacing w:line="560" w:lineRule="exact"/>
        <w:ind w:firstLine="640" w:firstLineChars="200"/>
        <w:jc w:val="left"/>
        <w:outlineLvl w:val="0"/>
        <w:rPr>
          <w:rFonts w:eastAsia="仿宋_GB2312"/>
          <w:color w:val="000000" w:themeColor="text1"/>
          <w:sz w:val="32"/>
          <w:szCs w:val="32"/>
        </w:rPr>
      </w:pPr>
      <w:r>
        <w:rPr>
          <w:rFonts w:hint="eastAsia" w:eastAsia="仿宋_GB2312"/>
          <w:color w:val="000000" w:themeColor="text1"/>
          <w:sz w:val="32"/>
          <w:szCs w:val="32"/>
        </w:rPr>
        <w:t>为了做好“基层科普行动计划”储备工作，区科协对全区农技协实地调研12个（次）单位，召开座谈会，征求农技协发展意见建议，实地督导社区科普大学教学点10个共25次，召开座谈会1次，征求了社区科普工作的意见建议，并形成了《灞桥区农村专业技术协会发展状况》《办好社区科普大学 提升市民科学素质》两份调研报告。同时对部分意见建议及时解决，组织农技协、农村科普示范基地负责人赴杨凌农高会参观学习，在狄寨街道组织农民实用技术培训，支持洪庆山果业发展协会引进花椒种植,拓宽农民增收渠道。</w:t>
      </w:r>
    </w:p>
    <w:p w14:paraId="36BD7BE2">
      <w:pPr>
        <w:spacing w:line="560" w:lineRule="exact"/>
        <w:ind w:firstLine="640" w:firstLineChars="200"/>
        <w:rPr>
          <w:rFonts w:ascii="方正楷体_GBK" w:eastAsia="方正楷体_GBK"/>
          <w:b/>
          <w:bCs/>
          <w:color w:val="000000" w:themeColor="text1"/>
          <w:sz w:val="32"/>
          <w:szCs w:val="32"/>
        </w:rPr>
      </w:pPr>
      <w:r>
        <w:rPr>
          <w:rFonts w:hint="eastAsia" w:ascii="方正楷体_GBK" w:eastAsia="方正楷体_GBK"/>
          <w:b/>
          <w:bCs/>
          <w:color w:val="000000" w:themeColor="text1"/>
          <w:sz w:val="32"/>
          <w:szCs w:val="32"/>
        </w:rPr>
        <w:t>（八）促进科技助力精准扶贫开展</w:t>
      </w:r>
    </w:p>
    <w:p w14:paraId="38BB0180">
      <w:pPr>
        <w:spacing w:line="560" w:lineRule="exact"/>
        <w:ind w:firstLine="630"/>
        <w:rPr>
          <w:rFonts w:eastAsia="仿宋_GB2312"/>
          <w:sz w:val="32"/>
          <w:szCs w:val="20"/>
        </w:rPr>
      </w:pPr>
      <w:r>
        <w:rPr>
          <w:rFonts w:hint="eastAsia" w:eastAsia="仿宋_GB2312"/>
          <w:sz w:val="32"/>
          <w:szCs w:val="20"/>
        </w:rPr>
        <w:t>8月20日，区科协在西张坡樱桃协会召开灞桥区科技助力精准扶贫工作推进会，安排辖区7个农技协负责人开展科技助力精准扶贫工作。会后1个月内，各协会农业专家深入狄寨、洪庆、席王等街道建档立卡户开展形式多样的帮扶活动，一是赠送</w:t>
      </w:r>
      <w:r>
        <w:rPr>
          <w:rFonts w:hint="eastAsia" w:ascii="仿宋" w:hAnsi="仿宋" w:eastAsia="仿宋" w:cs="仿宋"/>
          <w:sz w:val="32"/>
          <w:szCs w:val="32"/>
        </w:rPr>
        <w:t>《大樱桃丰产栽培技术》</w:t>
      </w:r>
      <w:r>
        <w:rPr>
          <w:rFonts w:hint="eastAsia" w:eastAsia="仿宋_GB2312"/>
          <w:sz w:val="32"/>
          <w:szCs w:val="20"/>
        </w:rPr>
        <w:t>等书籍60多册；二是和建档立卡户进一步加强联系，面对面咨询，电话咨询200多次，解决了他们樱桃、葡萄种植过程中的困难；三是东李樱桃协会派车接送席王地区建档立卡户20多户，参加协会举办的樱桃实用技术管理培训，收到较好反响。通过一系列活动，农业专家和建档立卡户加强了联系、加深了感情，促进科技助力扶贫精准帮扶。</w:t>
      </w:r>
    </w:p>
    <w:p w14:paraId="0C8EBE64">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二、政治建设情况</w:t>
      </w:r>
    </w:p>
    <w:p w14:paraId="026DD6E6">
      <w:pPr>
        <w:numPr>
          <w:ilvl w:val="0"/>
          <w:numId w:val="3"/>
        </w:num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开展意识形态工作</w:t>
      </w:r>
    </w:p>
    <w:p w14:paraId="26759BEB">
      <w:pPr>
        <w:pStyle w:val="5"/>
        <w:spacing w:before="0" w:beforeAutospacing="0" w:after="0" w:afterAutospacing="0" w:line="360" w:lineRule="auto"/>
        <w:ind w:firstLine="640" w:firstLineChars="200"/>
        <w:jc w:val="both"/>
        <w:rPr>
          <w:rFonts w:ascii="Times New Roman" w:hAnsi="Times New Roman" w:eastAsia="仿宋_GB2312" w:cs="Times New Roman"/>
          <w:kern w:val="2"/>
          <w:sz w:val="32"/>
          <w:szCs w:val="20"/>
        </w:rPr>
      </w:pPr>
      <w:r>
        <w:rPr>
          <w:rFonts w:hint="eastAsia" w:ascii="Times New Roman" w:hAnsi="Times New Roman" w:eastAsia="仿宋_GB2312" w:cs="Times New Roman"/>
          <w:kern w:val="2"/>
          <w:sz w:val="32"/>
          <w:szCs w:val="20"/>
        </w:rPr>
        <w:t>区科协发挥自查督查与年度考核相结合的重要作用，每半年召开意识形态工作会，每季度组织召开一次分析研判会，及时发现和处置苗头性倾向性问题。深入学习贯彻党的十九届历次全会精神，以习近平新时代中国特色社会主义思想为指导，紧紧围绕庆祝新中国成立70周年这条主线，坚持统一思想、坚定信心，着力加强思想理论建设，着力提高舆论引导能力和外宣工作水平，切实有效的抓好意识形态工作，收到了良好的效果。</w:t>
      </w:r>
    </w:p>
    <w:p w14:paraId="5FEB0DE6">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（二）落实党风廉政建设责任制</w:t>
      </w:r>
    </w:p>
    <w:p w14:paraId="0948FBE9">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坚持反复研读学习新《中国共产党章程》和《</w:t>
      </w:r>
      <w:r>
        <w:rPr>
          <w:rFonts w:hint="eastAsia" w:ascii="仿宋_GB2312" w:hAnsi="仿宋_GB2312" w:eastAsia="仿宋_GB2312"/>
          <w:color w:val="000000"/>
          <w:sz w:val="32"/>
          <w:szCs w:val="32"/>
          <w:lang w:val="en-US" w:eastAsia="zh-CN"/>
        </w:rPr>
        <w:t>党的</w:t>
      </w:r>
      <w:bookmarkStart w:id="0" w:name="_GoBack"/>
      <w:bookmarkEnd w:id="0"/>
      <w:r>
        <w:rPr>
          <w:rFonts w:hint="eastAsia" w:ascii="仿宋_GB2312" w:hAnsi="仿宋_GB2312" w:eastAsia="仿宋_GB2312"/>
          <w:color w:val="000000"/>
          <w:sz w:val="32"/>
          <w:szCs w:val="32"/>
        </w:rPr>
        <w:t>十九大报告》，学习</w:t>
      </w:r>
      <w:r>
        <w:rPr>
          <w:rFonts w:hint="eastAsia" w:ascii="仿宋_GB2312" w:hAnsi="仿宋_GB2312" w:eastAsia="仿宋_GB2312"/>
          <w:color w:val="000000"/>
          <w:sz w:val="32"/>
          <w:szCs w:val="32"/>
          <w:lang w:val="en-US" w:eastAsia="zh-CN"/>
        </w:rPr>
        <w:t>党的</w:t>
      </w:r>
      <w:r>
        <w:rPr>
          <w:rFonts w:hint="eastAsia" w:ascii="仿宋_GB2312" w:hAnsi="仿宋_GB2312" w:eastAsia="仿宋_GB2312"/>
          <w:color w:val="000000"/>
          <w:sz w:val="32"/>
          <w:szCs w:val="32"/>
        </w:rPr>
        <w:t>十九大精神，注重党规党纪教育，注重对政治纪律、组织纪律、工作纪律、生活纪律的教育。结合巡察整改，召开专题会议研究部署党风廉政工作，观看《作风强化在西安》、《巨变》、《特别追踪》、“问政时刻”等警示专题片和电影，落实《西安市公务活动禁止饮酒规定》、《西安市党员干部行为规范》等规章制度。严格领导干部重大事项报告制度，完善考勤和请假制度。坚持开展提醒谈话，不懈改进作风，持续深化标本兼治，推动全面从严治党向纵深发展。</w:t>
      </w:r>
    </w:p>
    <w:p w14:paraId="618DC3CC">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（三）开展“不忘初心、牢记使命”主题教育</w:t>
      </w:r>
    </w:p>
    <w:p w14:paraId="489D331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不忘初心、牢记使命”主题教育安排，以学习《纲要》《选编》《小红书》为主要内容，结合实际，狠抓落实，紧扣学习教育、调查研究、检视问题和整改落实内容扎实开展主题教育。党员每天坚持“早间课堂”学习，开展集中学习和交流研讨8次，形成材料16份，党员领导干部讲党课2次，开展基层调研22次，召开座谈会2次，形成调研报告2份，联合西安盛原党支部赴蓝田葛牌区苏维埃政府纪念馆开展革命教育。通过主题教育，有力激发了部门打造大西安东部增长极的工作合力。</w:t>
      </w:r>
    </w:p>
    <w:p w14:paraId="34A827E2">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（四）强化党组织战斗堡垒作用</w:t>
      </w:r>
    </w:p>
    <w:p w14:paraId="0C9F3543">
      <w:pPr>
        <w:spacing w:line="560" w:lineRule="exact"/>
        <w:ind w:firstLine="640" w:firstLineChars="200"/>
        <w:rPr>
          <w:rFonts w:ascii="仿宋_GB2312" w:eastAsia="仿宋_GB2312" w:cs="宋体"/>
          <w:bCs/>
          <w:color w:val="000000" w:themeColor="text1"/>
          <w:kern w:val="0"/>
          <w:sz w:val="32"/>
          <w:szCs w:val="32"/>
        </w:rPr>
      </w:pPr>
      <w:r>
        <w:rPr>
          <w:rFonts w:hint="eastAsia" w:ascii="仿宋_GB2312" w:eastAsia="仿宋_GB2312" w:cs="宋体"/>
          <w:bCs/>
          <w:kern w:val="0"/>
          <w:sz w:val="32"/>
          <w:szCs w:val="32"/>
        </w:rPr>
        <w:t>一是按期完成支部换届，选举鬲亚军同志为区科协党支部书记。</w:t>
      </w:r>
      <w:r>
        <w:rPr>
          <w:rFonts w:hint="eastAsia" w:ascii="仿宋_GB2312" w:eastAsia="仿宋_GB2312" w:cs="宋体"/>
          <w:bCs/>
          <w:color w:val="000000"/>
          <w:kern w:val="0"/>
          <w:sz w:val="32"/>
          <w:szCs w:val="32"/>
        </w:rPr>
        <w:t>二是认真落实 “三会一课”制度，保障支部学习活动经常化。把“两学一做”融入到领导干部和职工的经常性教育之中结合学习开展专题讨论，引导全体党员进一步增强“四个意识”，坚定正确的政治方向。三是开展固定党日、建</w:t>
      </w:r>
      <w:r>
        <w:rPr>
          <w:rFonts w:hint="eastAsia" w:ascii="仿宋_GB2312" w:eastAsia="仿宋_GB2312" w:cs="宋体"/>
          <w:bCs/>
          <w:color w:val="000000" w:themeColor="text1"/>
          <w:kern w:val="0"/>
          <w:sz w:val="32"/>
          <w:szCs w:val="32"/>
        </w:rPr>
        <w:t>立健全党员“积分制”和“跟踪制”，不断规范机关党员干部的行为。四是在职党员每月到社区报道服务1天，为所报道纺星社区建设科普中国e站。五是联合残联党支部赴渭华起义纪念馆开展主题党日活动。六是到气象局党支部参观学习，为党建提升打下坚实基础。七是规范党费交纳制度，按时足额做好党费收缴工作。</w:t>
      </w:r>
    </w:p>
    <w:p w14:paraId="0BCCC81D">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53EE4B7">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2019年度部门决算情况说明</w:t>
      </w:r>
    </w:p>
    <w:p w14:paraId="596DFA8F">
      <w:pPr>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Times New Roman" w:hAnsi="Times New Roman" w:eastAsia="黑体" w:cs="Times New Roman"/>
          <w:color w:val="000000"/>
          <w:kern w:val="0"/>
          <w:sz w:val="40"/>
          <w:szCs w:val="40"/>
        </w:rPr>
      </w:pPr>
    </w:p>
    <w:p w14:paraId="4BB34F02">
      <w:pPr>
        <w:keepNext w:val="0"/>
        <w:keepLines w:val="0"/>
        <w:pageBreakBefore w:val="0"/>
        <w:widowControl/>
        <w:numPr>
          <w:ilvl w:val="0"/>
          <w:numId w:val="4"/>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收入支出决算总体情况说明 </w:t>
      </w:r>
    </w:p>
    <w:p w14:paraId="18B4129A">
      <w:pPr>
        <w:pStyle w:val="5"/>
        <w:widowControl/>
        <w:spacing w:before="0" w:beforeAutospacing="0" w:after="240" w:afterAutospacing="0" w:line="450" w:lineRule="atLeast"/>
        <w:ind w:firstLine="480" w:firstLineChars="200"/>
        <w:rPr>
          <w:rFonts w:hint="eastAsia" w:ascii="Times New Roman" w:hAnsi="Times New Roman" w:eastAsia="黑体" w:cs="Times New Roman"/>
          <w:color w:val="000000"/>
          <w:kern w:val="0"/>
          <w:szCs w:val="32"/>
          <w:lang w:val="en-US" w:eastAsia="zh-CN"/>
        </w:rPr>
      </w:pPr>
      <w:r>
        <w:rPr>
          <w:rFonts w:hint="eastAsia" w:ascii="Times New Roman" w:hAnsi="Times New Roman" w:eastAsia="黑体" w:cs="Times New Roman"/>
          <w:color w:val="000000"/>
          <w:kern w:val="0"/>
          <w:szCs w:val="32"/>
          <w:lang w:val="en-US" w:eastAsia="zh-CN"/>
        </w:rPr>
        <w:t xml:space="preserve">  </w:t>
      </w:r>
      <w:r>
        <w:rPr>
          <w:rFonts w:hint="eastAsia" w:ascii="仿宋" w:hAnsi="仿宋" w:eastAsia="仿宋" w:cs="仿宋"/>
          <w:color w:val="333333"/>
          <w:sz w:val="32"/>
          <w:szCs w:val="32"/>
          <w:shd w:val="clear" w:color="auto" w:fill="FFFFFF"/>
        </w:rPr>
        <w:t>2019年度收入支出总体情况说明</w:t>
      </w:r>
      <w:r>
        <w:rPr>
          <w:rFonts w:hint="eastAsia" w:ascii="仿宋" w:hAnsi="仿宋" w:eastAsia="仿宋" w:cs="仿宋"/>
          <w:color w:val="333333"/>
          <w:sz w:val="32"/>
          <w:szCs w:val="32"/>
          <w:shd w:val="clear" w:color="auto" w:fill="FFFFFF"/>
          <w:lang w:eastAsia="zh-CN"/>
        </w:rPr>
        <w:t>：</w:t>
      </w:r>
      <w:r>
        <w:rPr>
          <w:rFonts w:hint="eastAsia" w:ascii="Times New Roman" w:hAnsi="Times New Roman" w:eastAsia="黑体" w:cs="Times New Roman"/>
          <w:color w:val="000000"/>
          <w:kern w:val="0"/>
          <w:szCs w:val="32"/>
          <w:lang w:val="en-US" w:eastAsia="zh-CN"/>
        </w:rPr>
        <w:t xml:space="preserve">  </w:t>
      </w:r>
    </w:p>
    <w:p w14:paraId="69450541">
      <w:pPr>
        <w:pStyle w:val="5"/>
        <w:widowControl/>
        <w:spacing w:before="0" w:beforeAutospacing="0" w:after="240" w:afterAutospacing="0" w:line="450" w:lineRule="atLeast"/>
        <w:ind w:firstLine="480" w:firstLineChars="200"/>
        <w:rPr>
          <w:rFonts w:hint="eastAsia" w:ascii="Times New Roman" w:hAnsi="Times New Roman" w:eastAsia="黑体" w:cs="Times New Roman"/>
          <w:color w:val="000000"/>
          <w:kern w:val="0"/>
          <w:szCs w:val="32"/>
          <w:lang w:val="en-US" w:eastAsia="zh-CN"/>
        </w:rPr>
      </w:pPr>
      <w:r>
        <w:rPr>
          <w:rFonts w:hint="eastAsia"/>
          <w:lang w:val="en-US" w:eastAsia="zh-CN"/>
        </w:rPr>
        <w:t xml:space="preserve">      </w:t>
      </w:r>
      <w:r>
        <w:drawing>
          <wp:inline distT="0" distB="0" distL="114300" distR="114300">
            <wp:extent cx="3480435" cy="2063750"/>
            <wp:effectExtent l="5080" t="4445" r="698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97CABF">
      <w:pPr>
        <w:pStyle w:val="5"/>
        <w:widowControl/>
        <w:spacing w:before="0" w:beforeAutospacing="0" w:after="240" w:afterAutospacing="0" w:line="450" w:lineRule="atLeast"/>
        <w:ind w:firstLine="640" w:firstLineChars="200"/>
        <w:rPr>
          <w:rFonts w:ascii="仿宋" w:hAnsi="仿宋" w:eastAsia="仿宋" w:cs="Arial"/>
          <w:color w:val="333333"/>
          <w:sz w:val="32"/>
          <w:szCs w:val="32"/>
        </w:rPr>
      </w:pPr>
      <w:r>
        <w:rPr>
          <w:rFonts w:hint="eastAsia"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lang w:val="en-US" w:eastAsia="zh-CN"/>
        </w:rPr>
        <w:t>本</w:t>
      </w:r>
      <w:r>
        <w:rPr>
          <w:rFonts w:hint="eastAsia" w:ascii="仿宋" w:hAnsi="仿宋" w:eastAsia="仿宋" w:cs="仿宋"/>
          <w:color w:val="333333"/>
          <w:sz w:val="32"/>
          <w:szCs w:val="32"/>
          <w:shd w:val="clear" w:color="auto" w:fill="FFFFFF"/>
        </w:rPr>
        <w:t>年度总收入</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万元，总支出</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万元，收支平衡。比上年增长</w:t>
      </w: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万元，增长了</w:t>
      </w:r>
      <w:r>
        <w:rPr>
          <w:rFonts w:hint="eastAsia" w:ascii="仿宋" w:hAnsi="仿宋" w:eastAsia="仿宋" w:cs="仿宋"/>
          <w:color w:val="333333"/>
          <w:sz w:val="32"/>
          <w:szCs w:val="32"/>
          <w:shd w:val="clear" w:color="auto" w:fill="FFFFFF"/>
          <w:lang w:val="en-US" w:eastAsia="zh-CN"/>
        </w:rPr>
        <w:t>5.9%</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val="en-US" w:eastAsia="zh-CN"/>
        </w:rPr>
        <w:t>主要</w:t>
      </w:r>
      <w:r>
        <w:rPr>
          <w:rFonts w:hint="eastAsia" w:ascii="仿宋" w:hAnsi="仿宋" w:eastAsia="仿宋" w:cs="仿宋"/>
          <w:color w:val="333333"/>
          <w:sz w:val="32"/>
          <w:szCs w:val="32"/>
          <w:shd w:val="clear" w:color="auto" w:fill="FFFFFF"/>
        </w:rPr>
        <w:t>原因是</w:t>
      </w:r>
      <w:r>
        <w:rPr>
          <w:rFonts w:hint="eastAsia" w:ascii="仿宋" w:hAnsi="仿宋" w:eastAsia="仿宋" w:cs="仿宋"/>
          <w:color w:val="333333"/>
          <w:sz w:val="32"/>
          <w:szCs w:val="32"/>
          <w:shd w:val="clear" w:color="auto" w:fill="FFFFFF"/>
          <w:lang w:val="en-US" w:eastAsia="zh-CN"/>
        </w:rPr>
        <w:t>增加</w:t>
      </w:r>
      <w:r>
        <w:rPr>
          <w:rFonts w:hint="eastAsia" w:ascii="仿宋" w:hAnsi="仿宋" w:eastAsia="仿宋" w:cs="仿宋"/>
          <w:color w:val="333333"/>
          <w:sz w:val="32"/>
          <w:szCs w:val="32"/>
          <w:shd w:val="clear" w:color="auto" w:fill="FFFFFF"/>
        </w:rPr>
        <w:t>人员工资福利经费，</w:t>
      </w:r>
      <w:r>
        <w:rPr>
          <w:rFonts w:ascii="仿宋" w:hAnsi="仿宋" w:eastAsia="仿宋" w:cs="Arial"/>
          <w:color w:val="333333"/>
          <w:sz w:val="32"/>
          <w:szCs w:val="32"/>
        </w:rPr>
        <w:t>由于支出增</w:t>
      </w:r>
      <w:r>
        <w:rPr>
          <w:rFonts w:hint="eastAsia" w:ascii="仿宋" w:hAnsi="仿宋" w:eastAsia="仿宋" w:cs="Arial"/>
          <w:color w:val="333333"/>
          <w:sz w:val="32"/>
          <w:szCs w:val="32"/>
        </w:rPr>
        <w:t>长</w:t>
      </w:r>
      <w:r>
        <w:rPr>
          <w:rFonts w:ascii="仿宋" w:hAnsi="仿宋" w:eastAsia="仿宋" w:cs="Arial"/>
          <w:color w:val="333333"/>
          <w:sz w:val="32"/>
          <w:szCs w:val="32"/>
        </w:rPr>
        <w:t>导致收入与支出同比例增</w:t>
      </w:r>
      <w:r>
        <w:rPr>
          <w:rFonts w:hint="eastAsia" w:ascii="仿宋" w:hAnsi="仿宋" w:eastAsia="仿宋" w:cs="Arial"/>
          <w:color w:val="333333"/>
          <w:sz w:val="32"/>
          <w:szCs w:val="32"/>
        </w:rPr>
        <w:t>长</w:t>
      </w:r>
      <w:r>
        <w:rPr>
          <w:rFonts w:ascii="仿宋" w:hAnsi="仿宋" w:eastAsia="仿宋" w:cs="Arial"/>
          <w:color w:val="333333"/>
          <w:sz w:val="32"/>
          <w:szCs w:val="32"/>
        </w:rPr>
        <w:t>。</w:t>
      </w:r>
    </w:p>
    <w:p w14:paraId="3788EADA">
      <w:pPr>
        <w:pStyle w:val="5"/>
        <w:widowControl/>
        <w:spacing w:before="0" w:beforeAutospacing="0" w:after="240" w:afterAutospacing="0" w:line="450" w:lineRule="atLeast"/>
        <w:ind w:firstLine="640" w:firstLineChars="200"/>
        <w:rPr>
          <w:rFonts w:ascii="仿宋" w:hAnsi="仿宋" w:eastAsia="仿宋" w:cs="仿宋"/>
          <w:sz w:val="32"/>
          <w:szCs w:val="32"/>
        </w:rPr>
      </w:pPr>
      <w:r>
        <w:rPr>
          <w:rFonts w:hint="eastAsia" w:ascii="仿宋" w:hAnsi="仿宋" w:eastAsia="仿宋" w:cs="Arial"/>
          <w:color w:val="333333"/>
          <w:sz w:val="32"/>
          <w:szCs w:val="32"/>
        </w:rPr>
        <w:t>2.</w:t>
      </w:r>
      <w:r>
        <w:rPr>
          <w:rFonts w:hint="eastAsia" w:ascii="仿宋" w:hAnsi="仿宋" w:eastAsia="仿宋" w:cs="仿宋"/>
          <w:color w:val="333333"/>
          <w:sz w:val="32"/>
          <w:szCs w:val="32"/>
          <w:shd w:val="clear" w:color="auto" w:fill="FFFFFF"/>
        </w:rPr>
        <w:t xml:space="preserve"> </w:t>
      </w:r>
      <w:r>
        <w:rPr>
          <w:rFonts w:hint="eastAsia" w:ascii="仿宋" w:hAnsi="仿宋" w:eastAsia="仿宋" w:cs="仿宋"/>
          <w:color w:val="333333"/>
          <w:sz w:val="32"/>
          <w:szCs w:val="32"/>
          <w:shd w:val="clear" w:color="auto" w:fill="FFFFFF"/>
          <w:lang w:val="en-US" w:eastAsia="zh-CN"/>
        </w:rPr>
        <w:t>本</w:t>
      </w:r>
      <w:r>
        <w:rPr>
          <w:rFonts w:hint="eastAsia" w:ascii="仿宋" w:hAnsi="仿宋" w:eastAsia="仿宋" w:cs="仿宋"/>
          <w:color w:val="333333"/>
          <w:sz w:val="32"/>
          <w:szCs w:val="32"/>
          <w:shd w:val="clear" w:color="auto" w:fill="FFFFFF"/>
        </w:rPr>
        <w:t>年度总收入</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万元，其中公共预算财政拨款收入</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万元，比上年增长</w:t>
      </w: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万元，增长了</w:t>
      </w:r>
      <w:r>
        <w:rPr>
          <w:rFonts w:hint="eastAsia" w:ascii="仿宋" w:hAnsi="仿宋" w:eastAsia="仿宋" w:cs="仿宋"/>
          <w:color w:val="333333"/>
          <w:sz w:val="32"/>
          <w:szCs w:val="32"/>
          <w:shd w:val="clear" w:color="auto" w:fill="FFFFFF"/>
          <w:lang w:val="en-US" w:eastAsia="zh-CN"/>
        </w:rPr>
        <w:t>5.9</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val="en-US" w:eastAsia="zh-CN"/>
        </w:rPr>
        <w:t>主要</w:t>
      </w:r>
      <w:r>
        <w:rPr>
          <w:rFonts w:hint="eastAsia" w:ascii="仿宋" w:hAnsi="仿宋" w:eastAsia="仿宋" w:cs="仿宋"/>
          <w:color w:val="333333"/>
          <w:sz w:val="32"/>
          <w:szCs w:val="32"/>
          <w:shd w:val="clear" w:color="auto" w:fill="FFFFFF"/>
        </w:rPr>
        <w:t>原因是人员工资福利经费增</w:t>
      </w:r>
      <w:r>
        <w:rPr>
          <w:rFonts w:hint="eastAsia" w:ascii="仿宋" w:hAnsi="仿宋" w:eastAsia="仿宋" w:cs="仿宋"/>
          <w:color w:val="333333"/>
          <w:sz w:val="32"/>
          <w:szCs w:val="32"/>
          <w:shd w:val="clear" w:color="auto" w:fill="FFFFFF"/>
          <w:lang w:val="en-US" w:eastAsia="zh-CN"/>
        </w:rPr>
        <w:t>加</w:t>
      </w:r>
      <w:r>
        <w:rPr>
          <w:rFonts w:hint="eastAsia" w:ascii="仿宋" w:hAnsi="仿宋" w:eastAsia="仿宋" w:cs="仿宋"/>
          <w:color w:val="333333"/>
          <w:sz w:val="32"/>
          <w:szCs w:val="32"/>
          <w:shd w:val="clear" w:color="auto" w:fill="FFFFFF"/>
        </w:rPr>
        <w:t>。</w:t>
      </w:r>
    </w:p>
    <w:p w14:paraId="6ED21160">
      <w:pPr>
        <w:pStyle w:val="5"/>
        <w:widowControl/>
        <w:spacing w:before="0" w:beforeAutospacing="0" w:after="240" w:afterAutospacing="0" w:line="450" w:lineRule="atLeast"/>
        <w:ind w:firstLine="640" w:firstLineChars="200"/>
        <w:rPr>
          <w:rFonts w:ascii="仿宋" w:hAnsi="仿宋" w:eastAsia="仿宋" w:cs="仿宋"/>
          <w:color w:val="333333"/>
          <w:sz w:val="32"/>
          <w:szCs w:val="32"/>
          <w:shd w:val="clear" w:color="auto" w:fill="FFFFFF"/>
        </w:rPr>
      </w:pPr>
      <w:r>
        <w:rPr>
          <w:rFonts w:hint="eastAsia" w:ascii="仿宋" w:hAnsi="仿宋" w:eastAsia="仿宋"/>
          <w:sz w:val="32"/>
          <w:szCs w:val="32"/>
        </w:rPr>
        <w:t>3.</w:t>
      </w:r>
      <w:r>
        <w:rPr>
          <w:rFonts w:hint="eastAsia" w:ascii="仿宋" w:hAnsi="仿宋" w:eastAsia="仿宋"/>
          <w:sz w:val="32"/>
          <w:szCs w:val="32"/>
          <w:lang w:val="en-US" w:eastAsia="zh-CN"/>
        </w:rPr>
        <w:t>本</w:t>
      </w:r>
      <w:r>
        <w:rPr>
          <w:rFonts w:ascii="仿宋" w:hAnsi="仿宋" w:eastAsia="仿宋"/>
          <w:sz w:val="32"/>
          <w:szCs w:val="32"/>
        </w:rPr>
        <w:t>年</w:t>
      </w:r>
      <w:r>
        <w:rPr>
          <w:rFonts w:hint="eastAsia" w:ascii="仿宋" w:hAnsi="仿宋" w:eastAsia="仿宋"/>
          <w:sz w:val="32"/>
          <w:szCs w:val="32"/>
        </w:rPr>
        <w:t>度总</w:t>
      </w:r>
      <w:r>
        <w:rPr>
          <w:rFonts w:ascii="仿宋" w:hAnsi="仿宋" w:eastAsia="仿宋"/>
          <w:sz w:val="32"/>
          <w:szCs w:val="32"/>
        </w:rPr>
        <w:t>支出</w:t>
      </w:r>
      <w:r>
        <w:rPr>
          <w:rFonts w:hint="eastAsia" w:ascii="仿宋" w:hAnsi="仿宋" w:eastAsia="仿宋"/>
          <w:sz w:val="32"/>
          <w:szCs w:val="32"/>
          <w:lang w:val="en-US" w:eastAsia="zh-CN"/>
        </w:rPr>
        <w:t>135.8</w:t>
      </w:r>
      <w:r>
        <w:rPr>
          <w:rFonts w:hint="eastAsia" w:ascii="仿宋" w:hAnsi="仿宋" w:eastAsia="仿宋"/>
          <w:sz w:val="32"/>
          <w:szCs w:val="32"/>
        </w:rPr>
        <w:t>万元，</w:t>
      </w:r>
      <w:r>
        <w:rPr>
          <w:rFonts w:hint="eastAsia" w:ascii="仿宋" w:hAnsi="仿宋" w:eastAsia="仿宋" w:cs="仿宋"/>
          <w:color w:val="333333"/>
          <w:sz w:val="32"/>
          <w:szCs w:val="32"/>
          <w:shd w:val="clear" w:color="auto" w:fill="FFFFFF"/>
        </w:rPr>
        <w:t>其中公共预算财政拨款收入</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万元，比上年增长</w:t>
      </w: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万元，增长了</w:t>
      </w:r>
      <w:r>
        <w:rPr>
          <w:rFonts w:hint="eastAsia" w:ascii="仿宋" w:hAnsi="仿宋" w:eastAsia="仿宋" w:cs="仿宋"/>
          <w:color w:val="333333"/>
          <w:sz w:val="32"/>
          <w:szCs w:val="32"/>
          <w:shd w:val="clear" w:color="auto" w:fill="FFFFFF"/>
          <w:lang w:val="en-US" w:eastAsia="zh-CN"/>
        </w:rPr>
        <w:t>5.9</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val="en-US" w:eastAsia="zh-CN"/>
        </w:rPr>
        <w:t>主要</w:t>
      </w:r>
      <w:r>
        <w:rPr>
          <w:rFonts w:hint="eastAsia" w:ascii="仿宋" w:hAnsi="仿宋" w:eastAsia="仿宋" w:cs="仿宋"/>
          <w:color w:val="333333"/>
          <w:sz w:val="32"/>
          <w:szCs w:val="32"/>
          <w:shd w:val="clear" w:color="auto" w:fill="FFFFFF"/>
        </w:rPr>
        <w:t>原因是人员工资福利经费</w:t>
      </w:r>
      <w:r>
        <w:rPr>
          <w:rFonts w:hint="eastAsia" w:ascii="仿宋" w:hAnsi="仿宋" w:eastAsia="仿宋" w:cs="仿宋"/>
          <w:color w:val="333333"/>
          <w:sz w:val="32"/>
          <w:szCs w:val="32"/>
          <w:shd w:val="clear" w:color="auto" w:fill="FFFFFF"/>
          <w:lang w:val="en-US" w:eastAsia="zh-CN"/>
        </w:rPr>
        <w:t>增加</w:t>
      </w:r>
      <w:r>
        <w:rPr>
          <w:rFonts w:hint="eastAsia" w:ascii="仿宋" w:hAnsi="仿宋" w:eastAsia="仿宋" w:cs="仿宋"/>
          <w:color w:val="333333"/>
          <w:sz w:val="32"/>
          <w:szCs w:val="32"/>
          <w:shd w:val="clear" w:color="auto" w:fill="FFFFFF"/>
        </w:rPr>
        <w:t>。</w:t>
      </w:r>
    </w:p>
    <w:p w14:paraId="08E4200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二、收入决算情况说明</w:t>
      </w:r>
    </w:p>
    <w:p w14:paraId="065D502C">
      <w:pPr>
        <w:widowControl/>
        <w:spacing w:line="576" w:lineRule="exact"/>
        <w:ind w:firstLine="640" w:firstLineChars="200"/>
        <w:jc w:val="left"/>
        <w:rPr>
          <w:rFonts w:hint="default" w:ascii="Times New Roman" w:hAnsi="Times New Roman" w:eastAsia="黑体" w:cs="Times New Roman"/>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收入合计</w:t>
      </w:r>
      <w:r>
        <w:rPr>
          <w:rFonts w:hint="eastAsia" w:ascii="Times New Roman" w:hAnsi="Times New Roman" w:eastAsia="仿宋_GB2312"/>
          <w:color w:val="000000"/>
          <w:kern w:val="0"/>
          <w:szCs w:val="32"/>
          <w:lang w:val="en-US" w:eastAsia="zh-CN"/>
        </w:rPr>
        <w:t>135.8</w:t>
      </w:r>
      <w:r>
        <w:rPr>
          <w:rFonts w:ascii="Times New Roman" w:hAnsi="Times New Roman" w:eastAsia="仿宋_GB2312"/>
          <w:color w:val="000000"/>
          <w:kern w:val="0"/>
          <w:szCs w:val="32"/>
        </w:rPr>
        <w:t>万元，其中：财政拨款收入</w:t>
      </w:r>
      <w:r>
        <w:rPr>
          <w:rFonts w:hint="eastAsia" w:ascii="Times New Roman" w:hAnsi="Times New Roman" w:eastAsia="仿宋_GB2312"/>
          <w:color w:val="000000"/>
          <w:kern w:val="0"/>
          <w:szCs w:val="32"/>
          <w:lang w:val="en-US" w:eastAsia="zh-CN"/>
        </w:rPr>
        <w:t>135.8</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，政府性基金预算财政拨款收入0万元。</w:t>
      </w:r>
    </w:p>
    <w:p w14:paraId="13F04CC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30D9DEB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szCs w:val="32"/>
          <w:shd w:val="clear" w:color="auto" w:fill="FFFFFF"/>
        </w:rPr>
        <w:drawing>
          <wp:anchor distT="0" distB="0" distL="0" distR="0" simplePos="0" relativeHeight="251659264" behindDoc="0" locked="0" layoutInCell="1" allowOverlap="1">
            <wp:simplePos x="0" y="0"/>
            <wp:positionH relativeFrom="column">
              <wp:posOffset>995680</wp:posOffset>
            </wp:positionH>
            <wp:positionV relativeFrom="paragraph">
              <wp:posOffset>70485</wp:posOffset>
            </wp:positionV>
            <wp:extent cx="3095625" cy="1733550"/>
            <wp:effectExtent l="0" t="0" r="3175" b="6350"/>
            <wp:wrapNone/>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8" cstate="print"/>
                    <a:srcRect/>
                    <a:stretch>
                      <a:fillRect/>
                    </a:stretch>
                  </pic:blipFill>
                  <pic:spPr>
                    <a:xfrm>
                      <a:off x="0" y="0"/>
                      <a:ext cx="3095625" cy="1733550"/>
                    </a:xfrm>
                    <a:prstGeom prst="rect">
                      <a:avLst/>
                    </a:prstGeom>
                    <a:noFill/>
                    <a:ln w="9525">
                      <a:noFill/>
                      <a:miter lim="800000"/>
                      <a:headEnd/>
                      <a:tailEnd/>
                    </a:ln>
                  </pic:spPr>
                </pic:pic>
              </a:graphicData>
            </a:graphic>
          </wp:anchor>
        </w:drawing>
      </w:r>
    </w:p>
    <w:p w14:paraId="5D1D760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黑体" w:cs="Times New Roman"/>
          <w:color w:val="000000"/>
          <w:kern w:val="0"/>
          <w:szCs w:val="32"/>
          <w:lang w:val="en-US" w:eastAsia="zh-CN"/>
        </w:rPr>
      </w:pPr>
      <w:r>
        <w:rPr>
          <w:rFonts w:hint="eastAsia" w:ascii="Times New Roman" w:hAnsi="Times New Roman" w:eastAsia="黑体" w:cs="Times New Roman"/>
          <w:color w:val="000000"/>
          <w:kern w:val="0"/>
          <w:szCs w:val="32"/>
          <w:lang w:val="en-US" w:eastAsia="zh-CN"/>
        </w:rPr>
        <w:t xml:space="preserve"> </w:t>
      </w:r>
    </w:p>
    <w:p w14:paraId="65494915">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kern w:val="0"/>
          <w:szCs w:val="32"/>
        </w:rPr>
      </w:pPr>
    </w:p>
    <w:p w14:paraId="50A6B1EA">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kern w:val="0"/>
          <w:szCs w:val="32"/>
        </w:rPr>
      </w:pPr>
    </w:p>
    <w:p w14:paraId="328EC40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7E183C7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rPr>
      </w:pPr>
      <w:r>
        <w:rPr>
          <w:rFonts w:hint="default" w:ascii="Times New Roman" w:hAnsi="Times New Roman" w:eastAsia="黑体" w:cs="Times New Roman"/>
          <w:color w:val="000000"/>
          <w:kern w:val="0"/>
          <w:szCs w:val="32"/>
        </w:rPr>
        <w:t xml:space="preserve">三、支出决算情况说明  </w:t>
      </w:r>
    </w:p>
    <w:p w14:paraId="50941CF8">
      <w:pPr>
        <w:widowControl/>
        <w:spacing w:line="576" w:lineRule="exact"/>
        <w:ind w:firstLine="640" w:firstLineChars="200"/>
        <w:jc w:val="left"/>
        <w:rPr>
          <w:rFonts w:hint="eastAsia" w:ascii="Times New Roman" w:hAnsi="Times New Roman" w:eastAsia="仿宋_GB2312"/>
          <w:color w:val="000000"/>
          <w:kern w:val="0"/>
          <w:szCs w:val="32"/>
          <w:lang w:eastAsia="zh-C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支出合计</w:t>
      </w:r>
      <w:r>
        <w:rPr>
          <w:rFonts w:hint="eastAsia" w:ascii="Times New Roman" w:hAnsi="Times New Roman" w:eastAsia="仿宋_GB2312"/>
          <w:color w:val="000000"/>
          <w:kern w:val="0"/>
          <w:szCs w:val="32"/>
          <w:lang w:val="en-US" w:eastAsia="zh-CN"/>
        </w:rPr>
        <w:t>135.8</w:t>
      </w:r>
      <w:r>
        <w:rPr>
          <w:rFonts w:ascii="Times New Roman" w:hAnsi="Times New Roman" w:eastAsia="仿宋_GB2312"/>
          <w:color w:val="000000"/>
          <w:kern w:val="0"/>
          <w:szCs w:val="32"/>
        </w:rPr>
        <w:t>万元，其中：基本支出</w:t>
      </w:r>
      <w:r>
        <w:rPr>
          <w:rFonts w:hint="eastAsia" w:ascii="Times New Roman" w:hAnsi="Times New Roman" w:eastAsia="仿宋_GB2312"/>
          <w:color w:val="000000"/>
          <w:kern w:val="0"/>
          <w:szCs w:val="32"/>
          <w:lang w:val="en-US" w:eastAsia="zh-CN"/>
        </w:rPr>
        <w:t>78.6</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lang w:val="en-US" w:eastAsia="zh-CN"/>
        </w:rPr>
        <w:t>58%</w:t>
      </w:r>
      <w:r>
        <w:rPr>
          <w:rFonts w:ascii="Times New Roman" w:hAnsi="Times New Roman" w:eastAsia="仿宋_GB2312"/>
          <w:color w:val="000000"/>
          <w:kern w:val="0"/>
          <w:szCs w:val="32"/>
        </w:rPr>
        <w:t>；项目支出</w:t>
      </w:r>
      <w:r>
        <w:rPr>
          <w:rFonts w:hint="eastAsia" w:ascii="Times New Roman" w:hAnsi="Times New Roman" w:eastAsia="仿宋_GB2312"/>
          <w:color w:val="000000"/>
          <w:kern w:val="0"/>
          <w:szCs w:val="32"/>
          <w:lang w:val="en-US" w:eastAsia="zh-CN"/>
        </w:rPr>
        <w:t>57.2</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lang w:val="en-US" w:eastAsia="zh-CN"/>
        </w:rPr>
        <w:t>42</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lang w:eastAsia="zh-CN"/>
        </w:rPr>
        <w:t>。</w:t>
      </w:r>
    </w:p>
    <w:p w14:paraId="612464FC">
      <w:pPr>
        <w:widowControl/>
        <w:spacing w:line="576" w:lineRule="exact"/>
        <w:ind w:firstLine="640" w:firstLineChars="200"/>
        <w:jc w:val="left"/>
        <w:rPr>
          <w:rFonts w:hint="eastAsia" w:ascii="Times New Roman" w:hAnsi="Times New Roman" w:eastAsia="仿宋_GB2312"/>
          <w:color w:val="000000"/>
          <w:kern w:val="0"/>
          <w:szCs w:val="32"/>
        </w:rPr>
      </w:pPr>
      <w:r>
        <w:drawing>
          <wp:anchor distT="0" distB="0" distL="114300" distR="114300" simplePos="0" relativeHeight="251660288" behindDoc="0" locked="0" layoutInCell="1" allowOverlap="1">
            <wp:simplePos x="0" y="0"/>
            <wp:positionH relativeFrom="column">
              <wp:posOffset>1014095</wp:posOffset>
            </wp:positionH>
            <wp:positionV relativeFrom="paragraph">
              <wp:posOffset>212090</wp:posOffset>
            </wp:positionV>
            <wp:extent cx="3087370" cy="1639570"/>
            <wp:effectExtent l="4445" t="4445" r="6985" b="698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7C5D33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5D01522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4880B1D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09389CAE">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kern w:val="0"/>
          <w:szCs w:val="32"/>
        </w:rPr>
      </w:pPr>
    </w:p>
    <w:p w14:paraId="0B2BA66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四、财政拨款收入支出决算总体情况说明  </w:t>
      </w:r>
    </w:p>
    <w:p w14:paraId="121D8110">
      <w:pPr>
        <w:widowControl/>
        <w:spacing w:line="576" w:lineRule="exact"/>
        <w:ind w:firstLine="640" w:firstLineChars="200"/>
        <w:jc w:val="left"/>
        <w:rPr>
          <w:rFonts w:hint="eastAsia" w:ascii="仿宋" w:hAnsi="仿宋" w:eastAsia="仿宋" w:cs="仿宋"/>
          <w:color w:val="333333"/>
          <w:szCs w:val="32"/>
          <w:shd w:val="clear" w:color="auto" w:fill="FFFFFF"/>
        </w:rPr>
      </w:pPr>
      <w:r>
        <w:rPr>
          <w:rFonts w:ascii="仿宋" w:hAnsi="仿宋" w:eastAsia="仿宋"/>
          <w:szCs w:val="32"/>
        </w:rPr>
        <w:t>2019年度</w:t>
      </w:r>
      <w:r>
        <w:rPr>
          <w:rFonts w:ascii="仿宋" w:hAnsi="仿宋" w:eastAsia="仿宋"/>
          <w:color w:val="000000"/>
          <w:kern w:val="0"/>
          <w:szCs w:val="32"/>
        </w:rPr>
        <w:t>财政拨款</w:t>
      </w:r>
      <w:r>
        <w:rPr>
          <w:rFonts w:ascii="仿宋" w:hAnsi="仿宋" w:eastAsia="仿宋"/>
          <w:szCs w:val="32"/>
        </w:rPr>
        <w:t>收入</w:t>
      </w:r>
      <w:r>
        <w:rPr>
          <w:rFonts w:hint="eastAsia" w:ascii="仿宋" w:hAnsi="仿宋" w:eastAsia="仿宋"/>
          <w:szCs w:val="32"/>
          <w:lang w:val="en-US" w:eastAsia="zh-CN"/>
        </w:rPr>
        <w:t>135.8</w:t>
      </w:r>
      <w:r>
        <w:rPr>
          <w:rFonts w:hint="eastAsia" w:ascii="仿宋" w:hAnsi="仿宋" w:eastAsia="仿宋"/>
          <w:szCs w:val="32"/>
        </w:rPr>
        <w:t>万元，</w:t>
      </w:r>
      <w:r>
        <w:rPr>
          <w:rFonts w:hint="eastAsia" w:ascii="仿宋" w:hAnsi="仿宋" w:eastAsia="仿宋" w:cs="仿宋"/>
          <w:color w:val="333333"/>
          <w:szCs w:val="32"/>
          <w:shd w:val="clear" w:color="auto" w:fill="FFFFFF"/>
        </w:rPr>
        <w:t>其中公共预算财政拨款收入</w:t>
      </w:r>
      <w:r>
        <w:rPr>
          <w:rFonts w:hint="eastAsia" w:ascii="仿宋" w:hAnsi="仿宋" w:eastAsia="仿宋" w:cs="仿宋"/>
          <w:color w:val="333333"/>
          <w:szCs w:val="32"/>
          <w:shd w:val="clear" w:color="auto" w:fill="FFFFFF"/>
          <w:lang w:val="en-US" w:eastAsia="zh-CN"/>
        </w:rPr>
        <w:t>135.8</w:t>
      </w:r>
      <w:r>
        <w:rPr>
          <w:rFonts w:hint="eastAsia" w:ascii="仿宋" w:hAnsi="仿宋" w:eastAsia="仿宋" w:cs="仿宋"/>
          <w:color w:val="333333"/>
          <w:szCs w:val="32"/>
          <w:shd w:val="clear" w:color="auto" w:fill="FFFFFF"/>
        </w:rPr>
        <w:t>万元，</w:t>
      </w:r>
      <w:r>
        <w:rPr>
          <w:rFonts w:ascii="仿宋" w:hAnsi="仿宋" w:eastAsia="仿宋"/>
          <w:szCs w:val="32"/>
        </w:rPr>
        <w:t>2019年</w:t>
      </w:r>
      <w:r>
        <w:rPr>
          <w:rFonts w:hint="eastAsia" w:ascii="仿宋" w:hAnsi="仿宋" w:eastAsia="仿宋"/>
          <w:szCs w:val="32"/>
        </w:rPr>
        <w:t>度财政拨款</w:t>
      </w:r>
      <w:r>
        <w:rPr>
          <w:rFonts w:ascii="仿宋" w:hAnsi="仿宋" w:eastAsia="仿宋"/>
          <w:szCs w:val="32"/>
        </w:rPr>
        <w:t>支出</w:t>
      </w:r>
      <w:r>
        <w:rPr>
          <w:rFonts w:hint="eastAsia" w:ascii="仿宋" w:hAnsi="仿宋" w:eastAsia="仿宋"/>
          <w:szCs w:val="32"/>
          <w:lang w:val="en-US" w:eastAsia="zh-CN"/>
        </w:rPr>
        <w:t>135.8</w:t>
      </w:r>
      <w:r>
        <w:rPr>
          <w:rFonts w:hint="eastAsia" w:ascii="仿宋" w:hAnsi="仿宋" w:eastAsia="仿宋"/>
          <w:szCs w:val="32"/>
        </w:rPr>
        <w:t>万元，</w:t>
      </w:r>
      <w:r>
        <w:rPr>
          <w:rFonts w:hint="eastAsia" w:ascii="仿宋" w:hAnsi="仿宋" w:eastAsia="仿宋" w:cs="仿宋"/>
          <w:color w:val="333333"/>
          <w:szCs w:val="32"/>
          <w:shd w:val="clear" w:color="auto" w:fill="FFFFFF"/>
        </w:rPr>
        <w:t>其中公共预算财政拨款支出</w:t>
      </w:r>
      <w:r>
        <w:rPr>
          <w:rFonts w:hint="eastAsia" w:ascii="仿宋" w:hAnsi="仿宋" w:eastAsia="仿宋" w:cs="仿宋"/>
          <w:color w:val="333333"/>
          <w:szCs w:val="32"/>
          <w:shd w:val="clear" w:color="auto" w:fill="FFFFFF"/>
          <w:lang w:val="en-US" w:eastAsia="zh-CN"/>
        </w:rPr>
        <w:t>135.8</w:t>
      </w:r>
      <w:r>
        <w:rPr>
          <w:rFonts w:hint="eastAsia" w:ascii="仿宋" w:hAnsi="仿宋" w:eastAsia="仿宋" w:cs="仿宋"/>
          <w:color w:val="333333"/>
          <w:szCs w:val="32"/>
          <w:shd w:val="clear" w:color="auto" w:fill="FFFFFF"/>
        </w:rPr>
        <w:t>万元，</w:t>
      </w:r>
      <w:r>
        <w:rPr>
          <w:rFonts w:ascii="仿宋" w:hAnsi="仿宋" w:eastAsia="仿宋" w:cs="Arial"/>
          <w:color w:val="333333"/>
          <w:kern w:val="0"/>
          <w:szCs w:val="32"/>
        </w:rPr>
        <w:t>收支平衡</w:t>
      </w:r>
      <w:r>
        <w:rPr>
          <w:rFonts w:hint="eastAsia" w:ascii="仿宋" w:hAnsi="仿宋" w:eastAsia="仿宋" w:cs="Arial"/>
          <w:color w:val="333333"/>
          <w:kern w:val="0"/>
          <w:szCs w:val="32"/>
        </w:rPr>
        <w:t>，</w:t>
      </w:r>
      <w:r>
        <w:rPr>
          <w:rFonts w:hint="eastAsia" w:ascii="仿宋" w:hAnsi="仿宋" w:eastAsia="仿宋" w:cs="仿宋"/>
          <w:color w:val="333333"/>
          <w:szCs w:val="32"/>
          <w:shd w:val="clear" w:color="auto" w:fill="FFFFFF"/>
        </w:rPr>
        <w:t>比上年增长</w:t>
      </w:r>
      <w:r>
        <w:rPr>
          <w:rFonts w:hint="eastAsia" w:ascii="仿宋" w:hAnsi="仿宋" w:eastAsia="仿宋" w:cs="仿宋"/>
          <w:color w:val="333333"/>
          <w:szCs w:val="32"/>
          <w:shd w:val="clear" w:color="auto" w:fill="FFFFFF"/>
          <w:lang w:val="en-US" w:eastAsia="zh-CN"/>
        </w:rPr>
        <w:t>8</w:t>
      </w:r>
      <w:r>
        <w:rPr>
          <w:rFonts w:hint="eastAsia" w:ascii="仿宋" w:hAnsi="仿宋" w:eastAsia="仿宋" w:cs="仿宋"/>
          <w:color w:val="333333"/>
          <w:szCs w:val="32"/>
          <w:shd w:val="clear" w:color="auto" w:fill="FFFFFF"/>
        </w:rPr>
        <w:t>万元，增长了</w:t>
      </w:r>
      <w:r>
        <w:rPr>
          <w:rFonts w:hint="eastAsia" w:ascii="仿宋" w:hAnsi="仿宋" w:eastAsia="仿宋" w:cs="仿宋"/>
          <w:color w:val="333333"/>
          <w:szCs w:val="32"/>
          <w:shd w:val="clear" w:color="auto" w:fill="FFFFFF"/>
          <w:lang w:val="en-US" w:eastAsia="zh-CN"/>
        </w:rPr>
        <w:t>5.9</w:t>
      </w:r>
      <w:r>
        <w:rPr>
          <w:rFonts w:hint="eastAsia" w:ascii="仿宋" w:hAnsi="仿宋" w:eastAsia="仿宋" w:cs="仿宋"/>
          <w:color w:val="333333"/>
          <w:szCs w:val="32"/>
          <w:shd w:val="clear" w:color="auto" w:fill="FFFFFF"/>
        </w:rPr>
        <w:t>%，</w:t>
      </w:r>
      <w:r>
        <w:rPr>
          <w:rFonts w:hint="eastAsia" w:ascii="仿宋" w:hAnsi="仿宋" w:eastAsia="仿宋" w:cs="仿宋"/>
          <w:color w:val="333333"/>
          <w:szCs w:val="32"/>
          <w:shd w:val="clear" w:color="auto" w:fill="FFFFFF"/>
          <w:lang w:val="en-US" w:eastAsia="zh-CN"/>
        </w:rPr>
        <w:t>主要</w:t>
      </w:r>
      <w:r>
        <w:rPr>
          <w:rFonts w:hint="eastAsia" w:ascii="仿宋" w:hAnsi="仿宋" w:eastAsia="仿宋" w:cs="仿宋"/>
          <w:color w:val="333333"/>
          <w:szCs w:val="32"/>
          <w:shd w:val="clear" w:color="auto" w:fill="FFFFFF"/>
        </w:rPr>
        <w:t>原因是</w:t>
      </w:r>
      <w:r>
        <w:rPr>
          <w:rFonts w:hint="eastAsia" w:ascii="仿宋" w:hAnsi="仿宋" w:eastAsia="仿宋" w:cs="仿宋"/>
          <w:color w:val="333333"/>
          <w:szCs w:val="32"/>
          <w:shd w:val="clear" w:color="auto" w:fill="FFFFFF"/>
          <w:lang w:val="en-US" w:eastAsia="zh-CN"/>
        </w:rPr>
        <w:t>增加</w:t>
      </w:r>
      <w:r>
        <w:rPr>
          <w:rFonts w:hint="eastAsia" w:ascii="仿宋" w:hAnsi="仿宋" w:eastAsia="仿宋" w:cs="仿宋"/>
          <w:color w:val="333333"/>
          <w:szCs w:val="32"/>
          <w:shd w:val="clear" w:color="auto" w:fill="FFFFFF"/>
        </w:rPr>
        <w:t>人员工资福利经费的。</w:t>
      </w:r>
    </w:p>
    <w:p w14:paraId="2CEC20E7">
      <w:pPr>
        <w:widowControl/>
        <w:spacing w:line="576" w:lineRule="exact"/>
        <w:ind w:firstLine="640" w:firstLineChars="200"/>
        <w:jc w:val="left"/>
        <w:rPr>
          <w:rFonts w:hint="eastAsia" w:ascii="仿宋" w:hAnsi="仿宋" w:eastAsia="仿宋" w:cs="仿宋"/>
          <w:color w:val="333333"/>
          <w:szCs w:val="32"/>
          <w:shd w:val="clear" w:color="auto" w:fill="FFFFFF"/>
        </w:rPr>
      </w:pPr>
      <w:r>
        <w:rPr>
          <w:szCs w:val="32"/>
          <w:shd w:val="clear" w:color="auto" w:fill="FFFFFF"/>
        </w:rPr>
        <w:drawing>
          <wp:anchor distT="0" distB="0" distL="0" distR="0" simplePos="0" relativeHeight="251661312" behindDoc="0" locked="0" layoutInCell="1" allowOverlap="1">
            <wp:simplePos x="0" y="0"/>
            <wp:positionH relativeFrom="column">
              <wp:posOffset>984250</wp:posOffset>
            </wp:positionH>
            <wp:positionV relativeFrom="paragraph">
              <wp:posOffset>40005</wp:posOffset>
            </wp:positionV>
            <wp:extent cx="3028950" cy="1685925"/>
            <wp:effectExtent l="0" t="0" r="6350" b="3175"/>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8" cstate="print"/>
                    <a:srcRect/>
                    <a:stretch>
                      <a:fillRect/>
                    </a:stretch>
                  </pic:blipFill>
                  <pic:spPr>
                    <a:xfrm>
                      <a:off x="0" y="0"/>
                      <a:ext cx="3028950" cy="1685925"/>
                    </a:xfrm>
                    <a:prstGeom prst="rect">
                      <a:avLst/>
                    </a:prstGeom>
                    <a:noFill/>
                    <a:ln w="9525">
                      <a:noFill/>
                      <a:miter lim="800000"/>
                      <a:headEnd/>
                      <a:tailEnd/>
                    </a:ln>
                  </pic:spPr>
                </pic:pic>
              </a:graphicData>
            </a:graphic>
          </wp:anchor>
        </w:drawing>
      </w:r>
    </w:p>
    <w:p w14:paraId="57E688DC">
      <w:pPr>
        <w:widowControl/>
        <w:spacing w:line="576" w:lineRule="exact"/>
        <w:ind w:firstLine="640" w:firstLineChars="200"/>
        <w:jc w:val="left"/>
        <w:rPr>
          <w:rFonts w:hint="eastAsia" w:ascii="仿宋" w:hAnsi="仿宋" w:eastAsia="仿宋" w:cs="仿宋"/>
          <w:color w:val="333333"/>
          <w:szCs w:val="32"/>
          <w:shd w:val="clear" w:color="auto" w:fill="FFFFFF"/>
        </w:rPr>
      </w:pPr>
    </w:p>
    <w:p w14:paraId="10C80B58">
      <w:pPr>
        <w:widowControl/>
        <w:spacing w:line="576" w:lineRule="exact"/>
        <w:ind w:firstLine="640" w:firstLineChars="200"/>
        <w:jc w:val="left"/>
        <w:rPr>
          <w:rFonts w:hint="eastAsia" w:ascii="仿宋" w:hAnsi="仿宋" w:eastAsia="仿宋" w:cs="仿宋"/>
          <w:color w:val="333333"/>
          <w:szCs w:val="32"/>
          <w:shd w:val="clear" w:color="auto" w:fill="FFFFFF"/>
        </w:rPr>
      </w:pPr>
    </w:p>
    <w:p w14:paraId="447DCF71">
      <w:pPr>
        <w:widowControl/>
        <w:spacing w:line="576" w:lineRule="exact"/>
        <w:ind w:firstLine="640" w:firstLineChars="200"/>
        <w:jc w:val="left"/>
        <w:rPr>
          <w:rFonts w:hint="default" w:ascii="仿宋" w:hAnsi="仿宋" w:eastAsia="仿宋" w:cs="仿宋"/>
          <w:color w:val="333333"/>
          <w:szCs w:val="32"/>
          <w:shd w:val="clear" w:color="auto" w:fill="FFFFFF"/>
        </w:rPr>
      </w:pPr>
    </w:p>
    <w:p w14:paraId="5CA0990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14:paraId="1663BAA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五、一般公共预算财政拨款支出决算情况说明</w:t>
      </w:r>
    </w:p>
    <w:p w14:paraId="5F56B318">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（一）财政拨款支出决算总体情况说明。</w:t>
      </w:r>
    </w:p>
    <w:p w14:paraId="42B6DF57">
      <w:pPr>
        <w:spacing w:line="576" w:lineRule="exact"/>
        <w:ind w:firstLine="640" w:firstLineChars="200"/>
        <w:rPr>
          <w:rFonts w:ascii="仿宋" w:hAnsi="仿宋" w:eastAsia="仿宋" w:cs="仿宋"/>
          <w:color w:val="333333"/>
          <w:szCs w:val="32"/>
          <w:shd w:val="clear" w:color="auto" w:fill="FFFFFF"/>
        </w:rPr>
      </w:pPr>
      <w:r>
        <w:rPr>
          <w:rFonts w:ascii="仿宋" w:hAnsi="仿宋" w:eastAsia="仿宋"/>
          <w:szCs w:val="32"/>
        </w:rPr>
        <w:t>2019年</w:t>
      </w:r>
      <w:r>
        <w:rPr>
          <w:rFonts w:hint="eastAsia" w:ascii="仿宋" w:hAnsi="仿宋" w:eastAsia="仿宋"/>
          <w:szCs w:val="32"/>
        </w:rPr>
        <w:t>度财政拨款</w:t>
      </w:r>
      <w:r>
        <w:rPr>
          <w:rFonts w:ascii="仿宋" w:hAnsi="仿宋" w:eastAsia="仿宋"/>
          <w:szCs w:val="32"/>
        </w:rPr>
        <w:t>支出</w:t>
      </w:r>
      <w:r>
        <w:rPr>
          <w:rFonts w:hint="eastAsia" w:ascii="仿宋" w:hAnsi="仿宋" w:eastAsia="仿宋"/>
          <w:szCs w:val="32"/>
          <w:lang w:val="en-US" w:eastAsia="zh-CN"/>
        </w:rPr>
        <w:t>135.8</w:t>
      </w:r>
      <w:r>
        <w:rPr>
          <w:rFonts w:hint="eastAsia" w:ascii="仿宋" w:hAnsi="仿宋" w:eastAsia="仿宋"/>
          <w:szCs w:val="32"/>
        </w:rPr>
        <w:t>万元，</w:t>
      </w:r>
      <w:r>
        <w:rPr>
          <w:rFonts w:hint="eastAsia" w:ascii="仿宋" w:hAnsi="仿宋" w:eastAsia="仿宋" w:cs="仿宋"/>
          <w:color w:val="333333"/>
          <w:szCs w:val="32"/>
          <w:shd w:val="clear" w:color="auto" w:fill="FFFFFF"/>
        </w:rPr>
        <w:t>其中公共预算财政拨款支出</w:t>
      </w:r>
      <w:r>
        <w:rPr>
          <w:rFonts w:hint="eastAsia" w:ascii="仿宋" w:hAnsi="仿宋" w:eastAsia="仿宋" w:cs="仿宋"/>
          <w:color w:val="333333"/>
          <w:szCs w:val="32"/>
          <w:shd w:val="clear" w:color="auto" w:fill="FFFFFF"/>
          <w:lang w:val="en-US" w:eastAsia="zh-CN"/>
        </w:rPr>
        <w:t>135.8</w:t>
      </w:r>
      <w:r>
        <w:rPr>
          <w:rFonts w:hint="eastAsia" w:ascii="仿宋" w:hAnsi="仿宋" w:eastAsia="仿宋" w:cs="仿宋"/>
          <w:color w:val="333333"/>
          <w:szCs w:val="32"/>
          <w:shd w:val="clear" w:color="auto" w:fill="FFFFFF"/>
        </w:rPr>
        <w:t>万元，比上年增长</w:t>
      </w:r>
      <w:r>
        <w:rPr>
          <w:rFonts w:hint="eastAsia" w:ascii="仿宋" w:hAnsi="仿宋" w:eastAsia="仿宋" w:cs="仿宋"/>
          <w:color w:val="333333"/>
          <w:szCs w:val="32"/>
          <w:shd w:val="clear" w:color="auto" w:fill="FFFFFF"/>
          <w:lang w:val="en-US" w:eastAsia="zh-CN"/>
        </w:rPr>
        <w:t>8</w:t>
      </w:r>
      <w:r>
        <w:rPr>
          <w:rFonts w:hint="eastAsia" w:ascii="仿宋" w:hAnsi="仿宋" w:eastAsia="仿宋" w:cs="仿宋"/>
          <w:color w:val="333333"/>
          <w:szCs w:val="32"/>
          <w:shd w:val="clear" w:color="auto" w:fill="FFFFFF"/>
        </w:rPr>
        <w:t>万元，增长了</w:t>
      </w:r>
      <w:r>
        <w:rPr>
          <w:rFonts w:hint="eastAsia" w:ascii="仿宋" w:hAnsi="仿宋" w:eastAsia="仿宋" w:cs="仿宋"/>
          <w:color w:val="333333"/>
          <w:szCs w:val="32"/>
          <w:shd w:val="clear" w:color="auto" w:fill="FFFFFF"/>
          <w:lang w:val="en-US" w:eastAsia="zh-CN"/>
        </w:rPr>
        <w:t>5.9</w:t>
      </w:r>
      <w:r>
        <w:rPr>
          <w:rFonts w:hint="eastAsia" w:ascii="仿宋" w:hAnsi="仿宋" w:eastAsia="仿宋" w:cs="仿宋"/>
          <w:color w:val="333333"/>
          <w:szCs w:val="32"/>
          <w:shd w:val="clear" w:color="auto" w:fill="FFFFFF"/>
        </w:rPr>
        <w:t>%，</w:t>
      </w:r>
      <w:r>
        <w:rPr>
          <w:rFonts w:hint="eastAsia" w:ascii="仿宋" w:hAnsi="仿宋" w:eastAsia="仿宋" w:cs="仿宋"/>
          <w:color w:val="333333"/>
          <w:szCs w:val="32"/>
          <w:shd w:val="clear" w:color="auto" w:fill="FFFFFF"/>
          <w:lang w:val="en-US" w:eastAsia="zh-CN"/>
        </w:rPr>
        <w:t>主要</w:t>
      </w:r>
      <w:r>
        <w:rPr>
          <w:rFonts w:hint="eastAsia" w:ascii="仿宋" w:hAnsi="仿宋" w:eastAsia="仿宋" w:cs="仿宋"/>
          <w:color w:val="333333"/>
          <w:szCs w:val="32"/>
          <w:shd w:val="clear" w:color="auto" w:fill="FFFFFF"/>
        </w:rPr>
        <w:t>原因是</w:t>
      </w:r>
      <w:r>
        <w:rPr>
          <w:rFonts w:hint="eastAsia" w:ascii="仿宋" w:hAnsi="仿宋" w:eastAsia="仿宋" w:cs="仿宋"/>
          <w:color w:val="333333"/>
          <w:szCs w:val="32"/>
          <w:shd w:val="clear" w:color="auto" w:fill="FFFFFF"/>
          <w:lang w:val="en-US" w:eastAsia="zh-CN"/>
        </w:rPr>
        <w:t>增加</w:t>
      </w:r>
      <w:r>
        <w:rPr>
          <w:rFonts w:hint="eastAsia" w:ascii="仿宋" w:hAnsi="仿宋" w:eastAsia="仿宋" w:cs="仿宋"/>
          <w:color w:val="333333"/>
          <w:szCs w:val="32"/>
          <w:shd w:val="clear" w:color="auto" w:fill="FFFFFF"/>
        </w:rPr>
        <w:t>人员工资福利经费。</w:t>
      </w:r>
    </w:p>
    <w:p w14:paraId="7622FDE3">
      <w:pPr>
        <w:pStyle w:val="5"/>
        <w:widowControl/>
        <w:tabs>
          <w:tab w:val="left" w:pos="6355"/>
        </w:tabs>
        <w:spacing w:before="0" w:beforeAutospacing="0" w:after="240" w:afterAutospacing="0" w:line="450" w:lineRule="atLeast"/>
        <w:ind w:firstLine="200" w:firstLineChars="200"/>
        <w:rPr>
          <w:rFonts w:ascii="仿宋" w:hAnsi="仿宋" w:eastAsia="仿宋" w:cs="仿宋"/>
          <w:color w:val="333333"/>
          <w:sz w:val="21"/>
          <w:szCs w:val="21"/>
          <w:shd w:val="clear" w:color="auto" w:fill="FFFFFF"/>
        </w:rPr>
      </w:pPr>
      <w:r>
        <w:rPr>
          <w:rFonts w:ascii="仿宋" w:hAnsi="仿宋" w:eastAsia="仿宋" w:cs="仿宋"/>
          <w:color w:val="333333"/>
          <w:sz w:val="10"/>
          <w:szCs w:val="10"/>
          <w:shd w:val="clear" w:color="auto" w:fill="FFFFFF"/>
        </w:rPr>
        <w:tab/>
      </w:r>
      <w:r>
        <w:rPr>
          <w:rFonts w:hint="eastAsia" w:ascii="仿宋" w:hAnsi="仿宋" w:eastAsia="仿宋" w:cs="仿宋"/>
          <w:color w:val="333333"/>
          <w:sz w:val="21"/>
          <w:szCs w:val="21"/>
          <w:shd w:val="clear" w:color="auto" w:fill="FFFFFF"/>
        </w:rPr>
        <w:t>单位：万元</w:t>
      </w:r>
    </w:p>
    <w:tbl>
      <w:tblPr>
        <w:tblStyle w:val="6"/>
        <w:tblW w:w="0" w:type="auto"/>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5267"/>
      </w:tblGrid>
      <w:tr w14:paraId="572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78" w:type="dxa"/>
            <w:vMerge w:val="restart"/>
            <w:vAlign w:val="center"/>
          </w:tcPr>
          <w:p w14:paraId="7E5ACE90">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支出内容</w:t>
            </w:r>
          </w:p>
        </w:tc>
        <w:tc>
          <w:tcPr>
            <w:tcW w:w="5267" w:type="dxa"/>
          </w:tcPr>
          <w:p w14:paraId="7A7BA756">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合计</w:t>
            </w:r>
          </w:p>
        </w:tc>
      </w:tr>
      <w:tr w14:paraId="22B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78" w:type="dxa"/>
            <w:vMerge w:val="continue"/>
          </w:tcPr>
          <w:p w14:paraId="2ECE36C2">
            <w:pPr>
              <w:pStyle w:val="5"/>
              <w:widowControl/>
              <w:spacing w:before="0" w:beforeAutospacing="0" w:after="240" w:afterAutospacing="0" w:line="450" w:lineRule="atLeast"/>
              <w:jc w:val="center"/>
              <w:rPr>
                <w:rFonts w:ascii="仿宋" w:hAnsi="仿宋" w:eastAsia="仿宋" w:cs="仿宋"/>
                <w:sz w:val="21"/>
                <w:szCs w:val="21"/>
              </w:rPr>
            </w:pPr>
          </w:p>
        </w:tc>
        <w:tc>
          <w:tcPr>
            <w:tcW w:w="5267" w:type="dxa"/>
          </w:tcPr>
          <w:p w14:paraId="6DE0E4AA">
            <w:pPr>
              <w:pStyle w:val="5"/>
              <w:widowControl/>
              <w:spacing w:before="0" w:beforeAutospacing="0" w:after="240" w:afterAutospacing="0" w:line="45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135.8</w:t>
            </w:r>
          </w:p>
        </w:tc>
      </w:tr>
      <w:tr w14:paraId="517B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78" w:type="dxa"/>
          </w:tcPr>
          <w:p w14:paraId="7739A76F">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一、基本支出</w:t>
            </w:r>
          </w:p>
        </w:tc>
        <w:tc>
          <w:tcPr>
            <w:tcW w:w="5267" w:type="dxa"/>
          </w:tcPr>
          <w:p w14:paraId="6839C6F1">
            <w:pPr>
              <w:pStyle w:val="5"/>
              <w:widowControl/>
              <w:spacing w:before="0" w:beforeAutospacing="0" w:after="240" w:afterAutospacing="0" w:line="45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78.6</w:t>
            </w:r>
          </w:p>
        </w:tc>
      </w:tr>
      <w:tr w14:paraId="566B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78" w:type="dxa"/>
          </w:tcPr>
          <w:p w14:paraId="5DE9E5B7">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1.人员经费支出</w:t>
            </w:r>
          </w:p>
        </w:tc>
        <w:tc>
          <w:tcPr>
            <w:tcW w:w="5267" w:type="dxa"/>
          </w:tcPr>
          <w:p w14:paraId="38E3298B">
            <w:pPr>
              <w:pStyle w:val="5"/>
              <w:widowControl/>
              <w:spacing w:before="0" w:beforeAutospacing="0" w:after="240" w:afterAutospacing="0" w:line="45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72.9</w:t>
            </w:r>
          </w:p>
        </w:tc>
      </w:tr>
      <w:tr w14:paraId="336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78" w:type="dxa"/>
          </w:tcPr>
          <w:p w14:paraId="22635ADC">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2.日常公用经费</w:t>
            </w:r>
          </w:p>
        </w:tc>
        <w:tc>
          <w:tcPr>
            <w:tcW w:w="5267" w:type="dxa"/>
          </w:tcPr>
          <w:p w14:paraId="3BA2EB0E">
            <w:pPr>
              <w:pStyle w:val="5"/>
              <w:widowControl/>
              <w:spacing w:before="0" w:beforeAutospacing="0" w:after="240" w:afterAutospacing="0" w:line="45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5.7</w:t>
            </w:r>
          </w:p>
        </w:tc>
      </w:tr>
      <w:tr w14:paraId="16D7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78" w:type="dxa"/>
          </w:tcPr>
          <w:p w14:paraId="544E2A1C">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rPr>
              <w:t>二、项目经费</w:t>
            </w:r>
          </w:p>
        </w:tc>
        <w:tc>
          <w:tcPr>
            <w:tcW w:w="5267" w:type="dxa"/>
          </w:tcPr>
          <w:p w14:paraId="40F7D827">
            <w:pPr>
              <w:pStyle w:val="5"/>
              <w:widowControl/>
              <w:spacing w:before="0" w:beforeAutospacing="0" w:after="240" w:afterAutospacing="0" w:line="450" w:lineRule="atLeast"/>
              <w:jc w:val="center"/>
              <w:rPr>
                <w:rFonts w:ascii="仿宋" w:hAnsi="仿宋" w:eastAsia="仿宋" w:cs="仿宋"/>
                <w:sz w:val="21"/>
                <w:szCs w:val="21"/>
              </w:rPr>
            </w:pPr>
            <w:r>
              <w:rPr>
                <w:rFonts w:hint="eastAsia" w:ascii="仿宋" w:hAnsi="仿宋" w:eastAsia="仿宋" w:cs="仿宋"/>
                <w:sz w:val="21"/>
                <w:szCs w:val="21"/>
                <w:lang w:val="en-US" w:eastAsia="zh-CN"/>
              </w:rPr>
              <w:t>57.2</w:t>
            </w:r>
            <w:r>
              <w:rPr>
                <w:rFonts w:hint="eastAsia" w:ascii="仿宋" w:hAnsi="仿宋" w:eastAsia="仿宋" w:cs="仿宋"/>
                <w:sz w:val="21"/>
                <w:szCs w:val="21"/>
              </w:rPr>
              <w:t xml:space="preserve"> </w:t>
            </w:r>
          </w:p>
        </w:tc>
      </w:tr>
    </w:tbl>
    <w:p w14:paraId="65FE6FAC">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Cs w:val="32"/>
        </w:rPr>
      </w:pPr>
    </w:p>
    <w:p w14:paraId="756D2E9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（二）财政拨款支出决算具体情况说明。</w:t>
      </w:r>
    </w:p>
    <w:p w14:paraId="0F1D2862">
      <w:pPr>
        <w:widowControl/>
        <w:spacing w:line="576" w:lineRule="exact"/>
        <w:ind w:firstLine="640" w:firstLineChars="200"/>
        <w:jc w:val="left"/>
        <w:rPr>
          <w:rFonts w:ascii="仿宋" w:hAnsi="仿宋" w:eastAsia="仿宋"/>
          <w:color w:val="000000"/>
          <w:kern w:val="0"/>
          <w:szCs w:val="32"/>
        </w:rPr>
      </w:pPr>
      <w:r>
        <w:rPr>
          <w:rFonts w:ascii="仿宋" w:hAnsi="仿宋" w:eastAsia="仿宋"/>
          <w:color w:val="000000"/>
          <w:kern w:val="0"/>
          <w:szCs w:val="32"/>
        </w:rPr>
        <w:t>2019年</w:t>
      </w:r>
      <w:r>
        <w:rPr>
          <w:rFonts w:ascii="仿宋" w:hAnsi="仿宋" w:eastAsia="仿宋"/>
          <w:szCs w:val="32"/>
        </w:rPr>
        <w:t>度</w:t>
      </w:r>
      <w:r>
        <w:rPr>
          <w:rFonts w:ascii="仿宋" w:hAnsi="仿宋" w:eastAsia="仿宋"/>
          <w:color w:val="000000"/>
          <w:kern w:val="0"/>
          <w:szCs w:val="32"/>
        </w:rPr>
        <w:t>财政拨款支出年初预算为</w:t>
      </w:r>
      <w:r>
        <w:rPr>
          <w:rFonts w:hint="eastAsia" w:ascii="仿宋" w:hAnsi="仿宋" w:eastAsia="仿宋"/>
          <w:color w:val="000000"/>
          <w:kern w:val="0"/>
          <w:szCs w:val="32"/>
          <w:lang w:val="en-US" w:eastAsia="zh-CN"/>
        </w:rPr>
        <w:t>61.33</w:t>
      </w:r>
      <w:r>
        <w:rPr>
          <w:rFonts w:ascii="仿宋" w:hAnsi="仿宋" w:eastAsia="仿宋"/>
          <w:color w:val="000000"/>
          <w:kern w:val="0"/>
          <w:szCs w:val="32"/>
        </w:rPr>
        <w:t>万元，支出决算为</w:t>
      </w:r>
      <w:r>
        <w:rPr>
          <w:rFonts w:hint="eastAsia" w:ascii="仿宋" w:hAnsi="仿宋" w:eastAsia="仿宋"/>
          <w:color w:val="000000"/>
          <w:kern w:val="0"/>
          <w:szCs w:val="32"/>
          <w:lang w:val="en-US" w:eastAsia="zh-CN"/>
        </w:rPr>
        <w:t>135.8</w:t>
      </w:r>
      <w:r>
        <w:rPr>
          <w:rFonts w:ascii="仿宋" w:hAnsi="仿宋" w:eastAsia="仿宋"/>
          <w:color w:val="000000"/>
          <w:kern w:val="0"/>
          <w:szCs w:val="32"/>
        </w:rPr>
        <w:t>万元，完成年初预算的</w:t>
      </w:r>
      <w:r>
        <w:rPr>
          <w:rFonts w:hint="eastAsia" w:ascii="仿宋" w:hAnsi="仿宋" w:eastAsia="仿宋"/>
          <w:color w:val="000000"/>
          <w:kern w:val="0"/>
          <w:szCs w:val="32"/>
          <w:lang w:val="en-US" w:eastAsia="zh-CN"/>
        </w:rPr>
        <w:t>221%</w:t>
      </w:r>
      <w:r>
        <w:rPr>
          <w:rFonts w:ascii="仿宋" w:hAnsi="仿宋" w:eastAsia="仿宋"/>
          <w:color w:val="000000"/>
          <w:kern w:val="0"/>
          <w:szCs w:val="32"/>
        </w:rPr>
        <w:t xml:space="preserve">。按照政府功能分类科目，其中： </w:t>
      </w:r>
    </w:p>
    <w:p w14:paraId="2AA878DC">
      <w:pPr>
        <w:pStyle w:val="5"/>
        <w:widowControl/>
        <w:spacing w:before="0" w:beforeAutospacing="0" w:after="240" w:afterAutospacing="0" w:line="450" w:lineRule="atLeas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（1）2019年度公共预算财政拨款支出：</w:t>
      </w:r>
      <w:r>
        <w:rPr>
          <w:rFonts w:hint="eastAsia" w:ascii="仿宋" w:hAnsi="仿宋" w:eastAsia="仿宋" w:cs="仿宋"/>
          <w:color w:val="333333"/>
          <w:sz w:val="32"/>
          <w:szCs w:val="32"/>
          <w:shd w:val="clear" w:color="auto" w:fill="FFFFFF"/>
          <w:lang w:val="en-US" w:eastAsia="zh-CN"/>
        </w:rPr>
        <w:t>135.8</w:t>
      </w:r>
      <w:r>
        <w:rPr>
          <w:rFonts w:hint="eastAsia" w:ascii="仿宋" w:hAnsi="仿宋" w:eastAsia="仿宋" w:cs="仿宋"/>
          <w:color w:val="333333"/>
          <w:sz w:val="32"/>
          <w:szCs w:val="32"/>
          <w:shd w:val="clear" w:color="auto" w:fill="FFFFFF"/>
        </w:rPr>
        <w:t>万元，其中：①基本支出</w:t>
      </w:r>
      <w:r>
        <w:rPr>
          <w:rFonts w:hint="eastAsia" w:ascii="仿宋" w:hAnsi="仿宋" w:eastAsia="仿宋" w:cs="仿宋"/>
          <w:color w:val="333333"/>
          <w:sz w:val="32"/>
          <w:szCs w:val="32"/>
          <w:shd w:val="clear" w:color="auto" w:fill="FFFFFF"/>
          <w:lang w:val="en-US" w:eastAsia="zh-CN"/>
        </w:rPr>
        <w:t>78.6</w:t>
      </w:r>
      <w:r>
        <w:rPr>
          <w:rFonts w:hint="eastAsia" w:ascii="仿宋" w:hAnsi="仿宋" w:eastAsia="仿宋" w:cs="仿宋"/>
          <w:color w:val="333333"/>
          <w:sz w:val="32"/>
          <w:szCs w:val="32"/>
          <w:shd w:val="clear" w:color="auto" w:fill="FFFFFF"/>
        </w:rPr>
        <w:t>万元，其中：人员经费支出</w:t>
      </w:r>
      <w:r>
        <w:rPr>
          <w:rFonts w:hint="eastAsia" w:ascii="仿宋" w:hAnsi="仿宋" w:eastAsia="仿宋" w:cs="仿宋"/>
          <w:color w:val="333333"/>
          <w:sz w:val="32"/>
          <w:szCs w:val="32"/>
          <w:shd w:val="clear" w:color="auto" w:fill="FFFFFF"/>
          <w:lang w:val="en-US" w:eastAsia="zh-CN"/>
        </w:rPr>
        <w:t>72.9</w:t>
      </w:r>
      <w:r>
        <w:rPr>
          <w:rFonts w:hint="eastAsia" w:ascii="仿宋" w:hAnsi="仿宋" w:eastAsia="仿宋" w:cs="仿宋"/>
          <w:color w:val="333333"/>
          <w:sz w:val="32"/>
          <w:szCs w:val="32"/>
          <w:shd w:val="clear" w:color="auto" w:fill="FFFFFF"/>
        </w:rPr>
        <w:t>万元，日常公用经费支出</w:t>
      </w:r>
      <w:r>
        <w:rPr>
          <w:rFonts w:hint="eastAsia" w:ascii="仿宋" w:hAnsi="仿宋" w:eastAsia="仿宋" w:cs="仿宋"/>
          <w:color w:val="333333"/>
          <w:sz w:val="32"/>
          <w:szCs w:val="32"/>
          <w:shd w:val="clear" w:color="auto" w:fill="FFFFFF"/>
          <w:lang w:val="en-US" w:eastAsia="zh-CN"/>
        </w:rPr>
        <w:t>5.7</w:t>
      </w:r>
      <w:r>
        <w:rPr>
          <w:rFonts w:hint="eastAsia" w:ascii="仿宋" w:hAnsi="仿宋" w:eastAsia="仿宋" w:cs="仿宋"/>
          <w:color w:val="333333"/>
          <w:sz w:val="32"/>
          <w:szCs w:val="32"/>
          <w:shd w:val="clear" w:color="auto" w:fill="FFFFFF"/>
        </w:rPr>
        <w:t>万元。②项目支出</w:t>
      </w:r>
      <w:r>
        <w:rPr>
          <w:rFonts w:hint="eastAsia" w:ascii="仿宋" w:hAnsi="仿宋" w:eastAsia="仿宋" w:cs="仿宋"/>
          <w:color w:val="333333"/>
          <w:sz w:val="32"/>
          <w:szCs w:val="32"/>
          <w:shd w:val="clear" w:color="auto" w:fill="FFFFFF"/>
          <w:lang w:val="en-US" w:eastAsia="zh-CN"/>
        </w:rPr>
        <w:t>57.2</w:t>
      </w:r>
      <w:r>
        <w:rPr>
          <w:rFonts w:hint="eastAsia" w:ascii="仿宋" w:hAnsi="仿宋" w:eastAsia="仿宋" w:cs="仿宋"/>
          <w:color w:val="333333"/>
          <w:sz w:val="32"/>
          <w:szCs w:val="32"/>
          <w:shd w:val="clear" w:color="auto" w:fill="FFFFFF"/>
        </w:rPr>
        <w:t>万元。</w:t>
      </w:r>
    </w:p>
    <w:p w14:paraId="104322C0">
      <w:pPr>
        <w:pStyle w:val="5"/>
        <w:widowControl/>
        <w:spacing w:before="0" w:beforeAutospacing="0" w:after="240" w:afterAutospacing="0" w:line="450" w:lineRule="atLeast"/>
        <w:ind w:firstLine="640" w:firstLineChars="200"/>
        <w:rPr>
          <w:rFonts w:ascii="仿宋" w:hAnsi="仿宋" w:eastAsia="仿宋" w:cs="Arial"/>
          <w:color w:val="333333"/>
          <w:sz w:val="32"/>
          <w:szCs w:val="32"/>
        </w:rPr>
      </w:pPr>
      <w:r>
        <w:rPr>
          <w:rFonts w:hint="eastAsia" w:ascii="仿宋" w:hAnsi="仿宋" w:eastAsia="仿宋" w:cs="仿宋"/>
          <w:color w:val="333333"/>
          <w:sz w:val="32"/>
          <w:szCs w:val="32"/>
          <w:shd w:val="clear" w:color="auto" w:fill="FFFFFF"/>
        </w:rPr>
        <w:t>（2）</w:t>
      </w:r>
      <w:r>
        <w:rPr>
          <w:rFonts w:hint="eastAsia" w:ascii="仿宋" w:hAnsi="仿宋" w:eastAsia="仿宋"/>
          <w:color w:val="000000"/>
          <w:sz w:val="32"/>
          <w:szCs w:val="32"/>
        </w:rPr>
        <w:t>政府性基金预算财政拨款收入0万元。</w:t>
      </w:r>
    </w:p>
    <w:p w14:paraId="22321AEB">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b/>
          <w:color w:val="000000"/>
          <w:kern w:val="0"/>
          <w:szCs w:val="32"/>
        </w:rPr>
      </w:pPr>
    </w:p>
    <w:p w14:paraId="5B481258">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cs="Times New Roman"/>
        </w:rPr>
      </w:pPr>
      <w:r>
        <w:rPr>
          <w:rFonts w:hint="default" w:ascii="Times New Roman" w:hAnsi="Times New Roman" w:eastAsia="仿宋_GB2312" w:cs="Times New Roman"/>
          <w:b/>
          <w:color w:val="000000"/>
          <w:kern w:val="0"/>
          <w:szCs w:val="32"/>
        </w:rPr>
        <w:t xml:space="preserve">1.一般公共服务支出（类）财政事务（款）行政运行（项）。 </w:t>
      </w:r>
    </w:p>
    <w:p w14:paraId="7351E0B1">
      <w:pPr>
        <w:widowControl/>
        <w:spacing w:line="576" w:lineRule="exact"/>
        <w:ind w:firstLine="640" w:firstLineChars="200"/>
        <w:jc w:val="left"/>
        <w:rPr>
          <w:rFonts w:ascii="仿宋" w:hAnsi="仿宋" w:eastAsia="仿宋"/>
          <w:color w:val="000000"/>
          <w:kern w:val="0"/>
          <w:szCs w:val="32"/>
        </w:rPr>
      </w:pPr>
      <w:r>
        <w:rPr>
          <w:rFonts w:hint="eastAsia" w:ascii="仿宋" w:hAnsi="仿宋" w:eastAsia="仿宋"/>
          <w:color w:val="000000"/>
          <w:kern w:val="0"/>
          <w:szCs w:val="32"/>
          <w:lang w:val="en-US" w:eastAsia="zh-CN"/>
        </w:rPr>
        <w:t xml:space="preserve">1. </w:t>
      </w:r>
      <w:r>
        <w:rPr>
          <w:rFonts w:hint="eastAsia" w:ascii="仿宋" w:hAnsi="仿宋" w:eastAsia="仿宋"/>
          <w:color w:val="000000"/>
          <w:kern w:val="0"/>
          <w:szCs w:val="32"/>
        </w:rPr>
        <w:t>2019</w:t>
      </w:r>
      <w:r>
        <w:rPr>
          <w:rFonts w:ascii="仿宋" w:hAnsi="仿宋" w:eastAsia="仿宋"/>
          <w:color w:val="000000"/>
          <w:kern w:val="0"/>
          <w:szCs w:val="32"/>
        </w:rPr>
        <w:t>年初预算为</w:t>
      </w:r>
      <w:r>
        <w:rPr>
          <w:rFonts w:hint="eastAsia" w:ascii="仿宋" w:hAnsi="仿宋" w:eastAsia="仿宋"/>
          <w:color w:val="000000"/>
          <w:kern w:val="0"/>
          <w:szCs w:val="32"/>
          <w:lang w:val="en-US" w:eastAsia="zh-CN"/>
        </w:rPr>
        <w:t>61.33</w:t>
      </w:r>
      <w:r>
        <w:rPr>
          <w:rFonts w:ascii="仿宋" w:hAnsi="仿宋" w:eastAsia="仿宋"/>
          <w:color w:val="000000"/>
          <w:kern w:val="0"/>
          <w:szCs w:val="32"/>
        </w:rPr>
        <w:t>万元，支出决算为</w:t>
      </w:r>
      <w:r>
        <w:rPr>
          <w:rFonts w:hint="eastAsia" w:ascii="仿宋" w:hAnsi="仿宋" w:eastAsia="仿宋"/>
          <w:color w:val="000000"/>
          <w:kern w:val="0"/>
          <w:szCs w:val="32"/>
          <w:lang w:val="en-US" w:eastAsia="zh-CN"/>
        </w:rPr>
        <w:t>135.8</w:t>
      </w:r>
      <w:r>
        <w:rPr>
          <w:rFonts w:ascii="仿宋" w:hAnsi="仿宋" w:eastAsia="仿宋"/>
          <w:color w:val="000000"/>
          <w:kern w:val="0"/>
          <w:szCs w:val="32"/>
        </w:rPr>
        <w:t>万元，完成年初预算的</w:t>
      </w:r>
      <w:r>
        <w:rPr>
          <w:rFonts w:hint="eastAsia" w:ascii="仿宋" w:hAnsi="仿宋" w:eastAsia="仿宋"/>
          <w:color w:val="000000"/>
          <w:kern w:val="0"/>
          <w:szCs w:val="32"/>
          <w:lang w:val="en-US" w:eastAsia="zh-CN"/>
        </w:rPr>
        <w:t>221</w:t>
      </w:r>
      <w:r>
        <w:rPr>
          <w:rFonts w:ascii="仿宋" w:hAnsi="仿宋" w:eastAsia="仿宋"/>
          <w:color w:val="000000"/>
          <w:kern w:val="0"/>
          <w:szCs w:val="32"/>
        </w:rPr>
        <w:t>%。决算数大于预算数的主要原因是</w:t>
      </w:r>
      <w:r>
        <w:rPr>
          <w:rFonts w:hint="eastAsia" w:ascii="仿宋" w:hAnsi="仿宋" w:eastAsia="仿宋"/>
          <w:color w:val="000000"/>
          <w:kern w:val="0"/>
          <w:szCs w:val="32"/>
          <w:lang w:val="en-US" w:eastAsia="zh-CN"/>
        </w:rPr>
        <w:t>含</w:t>
      </w:r>
      <w:r>
        <w:rPr>
          <w:rFonts w:hint="eastAsia" w:ascii="仿宋" w:hAnsi="仿宋" w:eastAsia="仿宋"/>
          <w:color w:val="000000"/>
          <w:kern w:val="0"/>
          <w:szCs w:val="32"/>
        </w:rPr>
        <w:t>有</w:t>
      </w:r>
      <w:r>
        <w:rPr>
          <w:rFonts w:hint="eastAsia" w:ascii="仿宋" w:hAnsi="仿宋" w:eastAsia="仿宋"/>
          <w:color w:val="000000"/>
          <w:kern w:val="0"/>
          <w:szCs w:val="32"/>
          <w:lang w:val="en-US" w:eastAsia="zh-CN"/>
        </w:rPr>
        <w:t>市级基层科普行动计划拨款</w:t>
      </w:r>
      <w:r>
        <w:rPr>
          <w:rFonts w:hint="eastAsia" w:ascii="仿宋" w:hAnsi="仿宋" w:eastAsia="仿宋"/>
          <w:color w:val="000000"/>
          <w:kern w:val="0"/>
          <w:szCs w:val="32"/>
        </w:rPr>
        <w:t>。</w:t>
      </w:r>
    </w:p>
    <w:p w14:paraId="6760627D">
      <w:pPr>
        <w:pStyle w:val="5"/>
        <w:widowControl/>
        <w:numPr>
          <w:ilvl w:val="0"/>
          <w:numId w:val="0"/>
        </w:numPr>
        <w:spacing w:before="0" w:beforeAutospacing="0" w:after="240" w:afterAutospacing="0" w:line="450" w:lineRule="atLeast"/>
        <w:ind w:right="0" w:rightChars="0" w:firstLine="640" w:firstLineChars="200"/>
        <w:rPr>
          <w:rFonts w:hint="default" w:ascii="Times New Roman" w:hAnsi="Times New Roman" w:eastAsia="黑体" w:cs="Times New Roman"/>
          <w:color w:val="000000"/>
          <w:kern w:val="0"/>
          <w:szCs w:val="32"/>
        </w:rPr>
      </w:pPr>
      <w:r>
        <w:rPr>
          <w:rFonts w:hint="eastAsia" w:ascii="仿宋" w:hAnsi="仿宋" w:eastAsia="仿宋" w:cs="Arial"/>
          <w:color w:val="333333"/>
          <w:sz w:val="32"/>
          <w:szCs w:val="32"/>
        </w:rPr>
        <w:t>2.</w:t>
      </w:r>
      <w:r>
        <w:rPr>
          <w:rFonts w:hint="eastAsia" w:ascii="仿宋" w:hAnsi="仿宋" w:eastAsia="仿宋" w:cs="Arial"/>
          <w:color w:val="333333"/>
          <w:sz w:val="32"/>
          <w:szCs w:val="32"/>
          <w:lang w:val="en-US" w:eastAsia="zh-CN"/>
        </w:rPr>
        <w:t xml:space="preserve"> </w:t>
      </w:r>
      <w:r>
        <w:rPr>
          <w:rFonts w:ascii="仿宋" w:hAnsi="仿宋" w:eastAsia="仿宋" w:cs="Arial"/>
          <w:color w:val="333333"/>
          <w:sz w:val="32"/>
          <w:szCs w:val="32"/>
        </w:rPr>
        <w:t>公共预算财政拨款基本支出情况</w:t>
      </w:r>
      <w:r>
        <w:rPr>
          <w:rFonts w:hint="eastAsia" w:ascii="仿宋" w:hAnsi="仿宋" w:eastAsia="仿宋" w:cs="Arial"/>
          <w:color w:val="333333"/>
          <w:sz w:val="32"/>
          <w:szCs w:val="32"/>
        </w:rPr>
        <w:t>：</w:t>
      </w:r>
      <w:r>
        <w:rPr>
          <w:rFonts w:ascii="仿宋" w:hAnsi="仿宋" w:eastAsia="仿宋" w:cs="Arial"/>
          <w:color w:val="333333"/>
          <w:sz w:val="32"/>
          <w:szCs w:val="32"/>
        </w:rPr>
        <w:t>基本支出</w:t>
      </w:r>
      <w:r>
        <w:rPr>
          <w:rFonts w:hint="eastAsia" w:ascii="仿宋" w:hAnsi="仿宋" w:eastAsia="仿宋" w:cs="仿宋"/>
          <w:color w:val="333333"/>
          <w:sz w:val="32"/>
          <w:szCs w:val="32"/>
          <w:shd w:val="clear" w:color="auto" w:fill="FFFFFF"/>
          <w:lang w:val="en-US" w:eastAsia="zh-CN"/>
        </w:rPr>
        <w:t>135.8</w:t>
      </w:r>
      <w:r>
        <w:rPr>
          <w:rFonts w:ascii="仿宋" w:hAnsi="仿宋" w:eastAsia="仿宋" w:cs="Arial"/>
          <w:color w:val="333333"/>
          <w:sz w:val="32"/>
          <w:szCs w:val="32"/>
        </w:rPr>
        <w:t>万元，其中：人员经费支出</w:t>
      </w:r>
      <w:r>
        <w:rPr>
          <w:rFonts w:hint="eastAsia" w:ascii="仿宋" w:hAnsi="仿宋" w:eastAsia="仿宋" w:cs="Arial"/>
          <w:color w:val="333333"/>
          <w:sz w:val="32"/>
          <w:szCs w:val="32"/>
          <w:lang w:val="en-US" w:eastAsia="zh-CN"/>
        </w:rPr>
        <w:t>78.6</w:t>
      </w:r>
      <w:r>
        <w:rPr>
          <w:rFonts w:ascii="仿宋" w:hAnsi="仿宋" w:eastAsia="仿宋" w:cs="Arial"/>
          <w:color w:val="333333"/>
          <w:sz w:val="32"/>
          <w:szCs w:val="32"/>
        </w:rPr>
        <w:t>万元，日常公用经费支出</w:t>
      </w:r>
      <w:r>
        <w:rPr>
          <w:rFonts w:hint="eastAsia" w:ascii="仿宋" w:hAnsi="仿宋" w:eastAsia="仿宋" w:cs="Arial"/>
          <w:color w:val="333333"/>
          <w:sz w:val="32"/>
          <w:szCs w:val="32"/>
          <w:lang w:val="en-US" w:eastAsia="zh-CN"/>
        </w:rPr>
        <w:t>5.7</w:t>
      </w:r>
      <w:r>
        <w:rPr>
          <w:rFonts w:ascii="仿宋" w:hAnsi="仿宋" w:eastAsia="仿宋" w:cs="Arial"/>
          <w:color w:val="333333"/>
          <w:sz w:val="32"/>
          <w:szCs w:val="32"/>
        </w:rPr>
        <w:t>万元。</w:t>
      </w:r>
    </w:p>
    <w:p w14:paraId="25113AE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黑体" w:cs="Times New Roman"/>
          <w:color w:val="000000"/>
          <w:kern w:val="0"/>
          <w:szCs w:val="32"/>
        </w:rPr>
        <w:t xml:space="preserve">六、一般公共预算财政拨款基本支出决算情况说明 </w:t>
      </w:r>
    </w:p>
    <w:p w14:paraId="228C64AC">
      <w:pPr>
        <w:widowControl/>
        <w:spacing w:line="576" w:lineRule="exact"/>
        <w:ind w:firstLine="620" w:firstLineChars="200"/>
        <w:jc w:val="left"/>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2019年</w:t>
      </w:r>
      <w:r>
        <w:rPr>
          <w:rFonts w:ascii="Times New Roman" w:hAnsi="Times New Roman" w:eastAsia="仿宋_GB2312"/>
          <w:szCs w:val="32"/>
        </w:rPr>
        <w:t>度</w:t>
      </w:r>
      <w:r>
        <w:rPr>
          <w:rFonts w:ascii="Times New Roman" w:hAnsi="Times New Roman" w:eastAsia="仿宋_GB2312"/>
          <w:color w:val="000000"/>
          <w:kern w:val="0"/>
          <w:sz w:val="31"/>
          <w:szCs w:val="31"/>
        </w:rPr>
        <w:t>一般公共预算财政拨款基本支出</w:t>
      </w:r>
      <w:r>
        <w:rPr>
          <w:rFonts w:hint="eastAsia" w:ascii="Times New Roman" w:hAnsi="Times New Roman" w:eastAsia="仿宋_GB2312"/>
          <w:color w:val="000000"/>
          <w:kern w:val="0"/>
          <w:sz w:val="31"/>
          <w:szCs w:val="31"/>
          <w:lang w:val="en-US" w:eastAsia="zh-CN"/>
        </w:rPr>
        <w:t>78.6</w:t>
      </w:r>
      <w:r>
        <w:rPr>
          <w:rFonts w:ascii="Times New Roman" w:hAnsi="Times New Roman" w:eastAsia="仿宋_GB2312"/>
          <w:color w:val="000000"/>
          <w:kern w:val="0"/>
          <w:sz w:val="31"/>
          <w:szCs w:val="31"/>
        </w:rPr>
        <w:t>万元，包括：人员经费支出</w:t>
      </w:r>
      <w:r>
        <w:rPr>
          <w:rFonts w:hint="eastAsia" w:ascii="Times New Roman" w:hAnsi="Times New Roman" w:eastAsia="仿宋_GB2312"/>
          <w:color w:val="000000"/>
          <w:kern w:val="0"/>
          <w:sz w:val="31"/>
          <w:szCs w:val="31"/>
          <w:lang w:val="en-US" w:eastAsia="zh-CN"/>
        </w:rPr>
        <w:t>72.9</w:t>
      </w:r>
      <w:r>
        <w:rPr>
          <w:rFonts w:ascii="Times New Roman" w:hAnsi="Times New Roman" w:eastAsia="仿宋_GB2312"/>
          <w:color w:val="000000"/>
          <w:kern w:val="0"/>
          <w:sz w:val="31"/>
          <w:szCs w:val="31"/>
        </w:rPr>
        <w:t>万元和公用经费支出</w:t>
      </w:r>
      <w:r>
        <w:rPr>
          <w:rFonts w:hint="eastAsia" w:ascii="Times New Roman" w:hAnsi="Times New Roman" w:eastAsia="仿宋_GB2312"/>
          <w:color w:val="000000"/>
          <w:kern w:val="0"/>
          <w:sz w:val="31"/>
          <w:szCs w:val="31"/>
          <w:lang w:val="en-US" w:eastAsia="zh-CN"/>
        </w:rPr>
        <w:t>5.7</w:t>
      </w:r>
      <w:r>
        <w:rPr>
          <w:rFonts w:ascii="Times New Roman" w:hAnsi="Times New Roman" w:eastAsia="仿宋_GB2312"/>
          <w:color w:val="000000"/>
          <w:kern w:val="0"/>
          <w:sz w:val="31"/>
          <w:szCs w:val="31"/>
        </w:rPr>
        <w:t>万元。</w:t>
      </w:r>
    </w:p>
    <w:p w14:paraId="3293787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七、一般公共预算财政拨款“三公”经费及会议费、培训费支出决算情况说明 </w:t>
      </w:r>
    </w:p>
    <w:p w14:paraId="415319A9">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cs="Times New Roman"/>
        </w:rPr>
      </w:pPr>
      <w:r>
        <w:rPr>
          <w:rFonts w:hint="default" w:ascii="Times New Roman" w:hAnsi="Times New Roman" w:eastAsia="楷体_GB2312" w:cs="Times New Roman"/>
          <w:b/>
          <w:color w:val="000000"/>
          <w:kern w:val="0"/>
          <w:szCs w:val="32"/>
        </w:rPr>
        <w:t xml:space="preserve">（一）“三公”经费财政拨款支出决算总体情况说明。 </w:t>
      </w:r>
    </w:p>
    <w:p w14:paraId="390D6A68">
      <w:pPr>
        <w:widowControl/>
        <w:spacing w:line="576" w:lineRule="exact"/>
        <w:ind w:firstLine="640" w:firstLineChars="200"/>
        <w:jc w:val="left"/>
        <w:rPr>
          <w:rFonts w:ascii="仿宋" w:hAnsi="仿宋" w:eastAsia="仿宋"/>
        </w:rPr>
      </w:pPr>
      <w:r>
        <w:rPr>
          <w:rFonts w:ascii="仿宋" w:hAnsi="仿宋" w:eastAsia="仿宋"/>
          <w:color w:val="000000"/>
          <w:kern w:val="0"/>
          <w:szCs w:val="32"/>
        </w:rPr>
        <w:t>2019年</w:t>
      </w:r>
      <w:r>
        <w:rPr>
          <w:rFonts w:ascii="仿宋" w:hAnsi="仿宋" w:eastAsia="仿宋"/>
          <w:szCs w:val="32"/>
        </w:rPr>
        <w:t>度</w:t>
      </w:r>
      <w:r>
        <w:rPr>
          <w:rFonts w:ascii="仿宋" w:hAnsi="仿宋" w:eastAsia="仿宋"/>
          <w:color w:val="000000"/>
          <w:kern w:val="0"/>
          <w:szCs w:val="32"/>
        </w:rPr>
        <w:t>“三公”经费财政拨款支出预算为</w:t>
      </w:r>
      <w:r>
        <w:rPr>
          <w:rFonts w:hint="eastAsia" w:ascii="仿宋" w:hAnsi="仿宋" w:eastAsia="仿宋"/>
          <w:color w:val="000000"/>
          <w:kern w:val="0"/>
          <w:szCs w:val="32"/>
        </w:rPr>
        <w:t>0</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ascii="仿宋" w:hAnsi="仿宋" w:eastAsia="仿宋"/>
          <w:color w:val="000000"/>
          <w:kern w:val="0"/>
          <w:szCs w:val="32"/>
        </w:rPr>
        <w:t>万元，完成预算的</w:t>
      </w:r>
      <w:r>
        <w:rPr>
          <w:rFonts w:hint="eastAsia" w:ascii="仿宋" w:hAnsi="仿宋" w:eastAsia="仿宋"/>
          <w:color w:val="000000"/>
          <w:kern w:val="0"/>
          <w:szCs w:val="32"/>
        </w:rPr>
        <w:t>0</w:t>
      </w:r>
      <w:r>
        <w:rPr>
          <w:rFonts w:ascii="仿宋" w:hAnsi="仿宋" w:eastAsia="仿宋"/>
          <w:color w:val="000000"/>
          <w:kern w:val="0"/>
          <w:szCs w:val="32"/>
        </w:rPr>
        <w:t>%。决算数较预算数</w:t>
      </w:r>
      <w:r>
        <w:rPr>
          <w:rFonts w:hint="eastAsia" w:ascii="仿宋" w:hAnsi="仿宋" w:eastAsia="仿宋"/>
          <w:color w:val="000000"/>
          <w:kern w:val="0"/>
          <w:szCs w:val="32"/>
        </w:rPr>
        <w:t>持平0</w:t>
      </w:r>
      <w:r>
        <w:rPr>
          <w:rFonts w:ascii="仿宋" w:hAnsi="仿宋" w:eastAsia="仿宋"/>
          <w:color w:val="000000"/>
          <w:kern w:val="0"/>
          <w:szCs w:val="32"/>
        </w:rPr>
        <w:t>万元，主要原因是</w:t>
      </w:r>
      <w:r>
        <w:rPr>
          <w:rFonts w:hint="eastAsia" w:ascii="仿宋" w:hAnsi="仿宋" w:eastAsia="仿宋" w:cs="仿宋"/>
          <w:color w:val="333333"/>
          <w:szCs w:val="32"/>
          <w:shd w:val="clear" w:color="auto" w:fill="FFFFFF"/>
        </w:rPr>
        <w:t>本单位无三公经费支出</w:t>
      </w:r>
      <w:r>
        <w:rPr>
          <w:rFonts w:hint="eastAsia" w:ascii="仿宋" w:hAnsi="仿宋" w:eastAsia="仿宋" w:cs="仿宋"/>
          <w:color w:val="333333"/>
          <w:szCs w:val="32"/>
          <w:shd w:val="clear" w:color="auto" w:fill="FFFFFF"/>
          <w:lang w:eastAsia="zh-CN"/>
        </w:rPr>
        <w:t>，</w:t>
      </w:r>
      <w:r>
        <w:rPr>
          <w:rFonts w:hint="eastAsia" w:ascii="仿宋" w:hAnsi="仿宋" w:eastAsia="仿宋" w:cs="仿宋"/>
          <w:color w:val="333333"/>
          <w:szCs w:val="32"/>
          <w:shd w:val="clear" w:color="auto" w:fill="FFFFFF"/>
          <w:lang w:val="en-US" w:eastAsia="zh-CN"/>
        </w:rPr>
        <w:t>已公开空表</w:t>
      </w:r>
      <w:r>
        <w:rPr>
          <w:rFonts w:ascii="仿宋" w:hAnsi="仿宋" w:eastAsia="仿宋"/>
          <w:color w:val="000000"/>
          <w:kern w:val="0"/>
          <w:szCs w:val="32"/>
        </w:rPr>
        <w:t>。</w:t>
      </w:r>
    </w:p>
    <w:p w14:paraId="1E6EBE0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（二）“三公”经费财政拨款支出决算具体情况说明。</w:t>
      </w:r>
    </w:p>
    <w:p w14:paraId="412229B7">
      <w:pPr>
        <w:widowControl/>
        <w:spacing w:line="576" w:lineRule="exact"/>
        <w:ind w:firstLine="640" w:firstLineChars="200"/>
        <w:jc w:val="left"/>
        <w:rPr>
          <w:rFonts w:ascii="仿宋" w:hAnsi="仿宋" w:eastAsia="仿宋"/>
        </w:rPr>
      </w:pPr>
      <w:r>
        <w:rPr>
          <w:rFonts w:ascii="仿宋" w:hAnsi="仿宋" w:eastAsia="仿宋"/>
          <w:color w:val="000000"/>
          <w:kern w:val="0"/>
          <w:szCs w:val="32"/>
        </w:rPr>
        <w:t>2019年</w:t>
      </w:r>
      <w:r>
        <w:rPr>
          <w:rFonts w:ascii="仿宋" w:hAnsi="仿宋" w:eastAsia="仿宋"/>
          <w:szCs w:val="32"/>
        </w:rPr>
        <w:t>度</w:t>
      </w:r>
      <w:r>
        <w:rPr>
          <w:rFonts w:ascii="仿宋" w:hAnsi="仿宋" w:eastAsia="仿宋"/>
          <w:color w:val="000000"/>
          <w:kern w:val="0"/>
          <w:szCs w:val="32"/>
        </w:rPr>
        <w:t>“三公”经费财政拨款支出决算中，因公出国（境）费支出决算</w:t>
      </w:r>
      <w:r>
        <w:rPr>
          <w:rFonts w:hint="eastAsia" w:ascii="仿宋" w:hAnsi="仿宋" w:eastAsia="仿宋"/>
          <w:color w:val="000000"/>
          <w:kern w:val="0"/>
          <w:szCs w:val="32"/>
        </w:rPr>
        <w:t>0</w:t>
      </w:r>
      <w:r>
        <w:rPr>
          <w:rFonts w:ascii="仿宋" w:hAnsi="仿宋" w:eastAsia="仿宋"/>
          <w:color w:val="000000"/>
          <w:kern w:val="0"/>
          <w:szCs w:val="32"/>
        </w:rPr>
        <w:t>万元，占</w:t>
      </w:r>
      <w:r>
        <w:rPr>
          <w:rFonts w:hint="eastAsia" w:ascii="仿宋" w:hAnsi="仿宋" w:eastAsia="仿宋"/>
          <w:color w:val="000000"/>
          <w:kern w:val="0"/>
          <w:szCs w:val="32"/>
        </w:rPr>
        <w:t>0</w:t>
      </w:r>
      <w:r>
        <w:rPr>
          <w:rFonts w:ascii="仿宋" w:hAnsi="仿宋" w:eastAsia="仿宋"/>
          <w:color w:val="000000"/>
          <w:kern w:val="0"/>
          <w:szCs w:val="32"/>
        </w:rPr>
        <w:t>%；公务用车购置费支出</w:t>
      </w:r>
      <w:r>
        <w:rPr>
          <w:rFonts w:hint="eastAsia" w:ascii="仿宋" w:hAnsi="仿宋" w:eastAsia="仿宋"/>
          <w:color w:val="000000"/>
          <w:kern w:val="0"/>
          <w:szCs w:val="32"/>
        </w:rPr>
        <w:t>0</w:t>
      </w:r>
      <w:r>
        <w:rPr>
          <w:rFonts w:ascii="仿宋" w:hAnsi="仿宋" w:eastAsia="仿宋"/>
          <w:color w:val="000000"/>
          <w:kern w:val="0"/>
          <w:szCs w:val="32"/>
        </w:rPr>
        <w:t>万元，占</w:t>
      </w:r>
      <w:r>
        <w:rPr>
          <w:rFonts w:hint="eastAsia" w:ascii="仿宋" w:hAnsi="仿宋" w:eastAsia="仿宋"/>
          <w:color w:val="000000"/>
          <w:kern w:val="0"/>
          <w:szCs w:val="32"/>
        </w:rPr>
        <w:t>0</w:t>
      </w:r>
      <w:r>
        <w:rPr>
          <w:rFonts w:ascii="仿宋" w:hAnsi="仿宋" w:eastAsia="仿宋"/>
          <w:color w:val="000000"/>
          <w:kern w:val="0"/>
          <w:szCs w:val="32"/>
        </w:rPr>
        <w:t>%；公务用车运行</w:t>
      </w:r>
      <w:r>
        <w:rPr>
          <w:rFonts w:ascii="仿宋" w:hAnsi="仿宋" w:eastAsia="仿宋"/>
          <w:szCs w:val="32"/>
        </w:rPr>
        <w:t>维护</w:t>
      </w:r>
      <w:r>
        <w:rPr>
          <w:rFonts w:ascii="仿宋" w:hAnsi="仿宋" w:eastAsia="仿宋"/>
          <w:color w:val="000000"/>
          <w:kern w:val="0"/>
          <w:szCs w:val="32"/>
        </w:rPr>
        <w:t>费支出决算</w:t>
      </w:r>
      <w:r>
        <w:rPr>
          <w:rFonts w:hint="eastAsia" w:ascii="仿宋" w:hAnsi="仿宋" w:eastAsia="仿宋"/>
          <w:color w:val="000000"/>
          <w:kern w:val="0"/>
          <w:szCs w:val="32"/>
        </w:rPr>
        <w:t>0</w:t>
      </w:r>
      <w:r>
        <w:rPr>
          <w:rFonts w:ascii="仿宋" w:hAnsi="仿宋" w:eastAsia="仿宋"/>
          <w:color w:val="000000"/>
          <w:kern w:val="0"/>
          <w:szCs w:val="32"/>
        </w:rPr>
        <w:t>万元，占</w:t>
      </w:r>
      <w:r>
        <w:rPr>
          <w:rFonts w:hint="eastAsia" w:ascii="仿宋" w:hAnsi="仿宋" w:eastAsia="仿宋"/>
          <w:color w:val="000000"/>
          <w:kern w:val="0"/>
          <w:szCs w:val="32"/>
        </w:rPr>
        <w:t>0</w:t>
      </w:r>
      <w:r>
        <w:rPr>
          <w:rFonts w:ascii="仿宋" w:hAnsi="仿宋" w:eastAsia="仿宋"/>
          <w:color w:val="000000"/>
          <w:kern w:val="0"/>
          <w:szCs w:val="32"/>
        </w:rPr>
        <w:t>%；公务接待费支出决算</w:t>
      </w:r>
      <w:r>
        <w:rPr>
          <w:rFonts w:hint="eastAsia" w:ascii="仿宋" w:hAnsi="仿宋" w:eastAsia="仿宋"/>
          <w:color w:val="000000"/>
          <w:kern w:val="0"/>
          <w:szCs w:val="32"/>
        </w:rPr>
        <w:t>0</w:t>
      </w:r>
      <w:r>
        <w:rPr>
          <w:rFonts w:ascii="仿宋" w:hAnsi="仿宋" w:eastAsia="仿宋"/>
          <w:color w:val="000000"/>
          <w:kern w:val="0"/>
          <w:szCs w:val="32"/>
        </w:rPr>
        <w:t>万元，占</w:t>
      </w:r>
      <w:r>
        <w:rPr>
          <w:rFonts w:hint="eastAsia" w:ascii="仿宋" w:hAnsi="仿宋" w:eastAsia="仿宋"/>
          <w:color w:val="000000"/>
          <w:kern w:val="0"/>
          <w:szCs w:val="32"/>
        </w:rPr>
        <w:t>0</w:t>
      </w:r>
      <w:r>
        <w:rPr>
          <w:rFonts w:ascii="仿宋" w:hAnsi="仿宋" w:eastAsia="仿宋"/>
          <w:color w:val="000000"/>
          <w:kern w:val="0"/>
          <w:szCs w:val="32"/>
        </w:rPr>
        <w:t>%。具体情况如下：</w:t>
      </w:r>
    </w:p>
    <w:p w14:paraId="60A3AA4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1.因公出国（境）支出情况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14:paraId="405D62A4">
      <w:pPr>
        <w:widowControl/>
        <w:spacing w:line="576" w:lineRule="exact"/>
        <w:ind w:firstLine="640" w:firstLineChars="200"/>
        <w:jc w:val="left"/>
        <w:rPr>
          <w:rFonts w:ascii="仿宋" w:hAnsi="仿宋" w:eastAsia="仿宋"/>
        </w:rPr>
      </w:pPr>
      <w:r>
        <w:rPr>
          <w:rFonts w:ascii="仿宋" w:hAnsi="仿宋" w:eastAsia="仿宋"/>
          <w:szCs w:val="32"/>
        </w:rPr>
        <w:t>2019年度因公出国（境）团组</w:t>
      </w:r>
      <w:r>
        <w:rPr>
          <w:rFonts w:hint="eastAsia" w:ascii="仿宋" w:hAnsi="仿宋" w:eastAsia="仿宋"/>
          <w:szCs w:val="32"/>
        </w:rPr>
        <w:t>0</w:t>
      </w:r>
      <w:r>
        <w:rPr>
          <w:rFonts w:ascii="仿宋" w:hAnsi="仿宋" w:eastAsia="仿宋"/>
          <w:szCs w:val="32"/>
        </w:rPr>
        <w:t>个，</w:t>
      </w:r>
      <w:r>
        <w:rPr>
          <w:rFonts w:hint="eastAsia" w:ascii="仿宋" w:hAnsi="仿宋" w:eastAsia="仿宋"/>
          <w:szCs w:val="32"/>
        </w:rPr>
        <w:t>0</w:t>
      </w:r>
      <w:r>
        <w:rPr>
          <w:rFonts w:ascii="仿宋" w:hAnsi="仿宋" w:eastAsia="仿宋"/>
          <w:szCs w:val="32"/>
        </w:rPr>
        <w:t>人次，</w:t>
      </w:r>
      <w:r>
        <w:rPr>
          <w:rFonts w:ascii="仿宋" w:hAnsi="仿宋" w:eastAsia="仿宋"/>
          <w:color w:val="000000"/>
          <w:kern w:val="0"/>
          <w:szCs w:val="32"/>
        </w:rPr>
        <w:t>预算为</w:t>
      </w:r>
      <w:r>
        <w:rPr>
          <w:rFonts w:hint="eastAsia" w:ascii="仿宋" w:hAnsi="仿宋" w:eastAsia="仿宋"/>
          <w:color w:val="000000"/>
          <w:kern w:val="0"/>
          <w:szCs w:val="32"/>
        </w:rPr>
        <w:t>0</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ascii="仿宋" w:hAnsi="仿宋" w:eastAsia="仿宋"/>
          <w:color w:val="000000"/>
          <w:kern w:val="0"/>
          <w:szCs w:val="32"/>
        </w:rPr>
        <w:t>万元</w:t>
      </w:r>
      <w:r>
        <w:rPr>
          <w:rFonts w:ascii="仿宋" w:hAnsi="仿宋" w:eastAsia="仿宋"/>
          <w:szCs w:val="32"/>
        </w:rPr>
        <w:t>（如没有支出填0）</w:t>
      </w:r>
      <w:r>
        <w:rPr>
          <w:rFonts w:ascii="仿宋" w:hAnsi="仿宋" w:eastAsia="仿宋"/>
          <w:color w:val="000000"/>
          <w:kern w:val="0"/>
          <w:szCs w:val="32"/>
        </w:rPr>
        <w:t>，完成预算的</w:t>
      </w:r>
      <w:r>
        <w:rPr>
          <w:rFonts w:hint="eastAsia" w:ascii="仿宋" w:hAnsi="仿宋" w:eastAsia="仿宋"/>
          <w:color w:val="000000"/>
          <w:kern w:val="0"/>
          <w:szCs w:val="32"/>
        </w:rPr>
        <w:t>0</w:t>
      </w:r>
      <w:r>
        <w:rPr>
          <w:rFonts w:ascii="仿宋" w:hAnsi="仿宋" w:eastAsia="仿宋"/>
          <w:color w:val="000000"/>
          <w:kern w:val="0"/>
          <w:szCs w:val="32"/>
        </w:rPr>
        <w:t>%，决算数较预算数</w:t>
      </w:r>
      <w:r>
        <w:rPr>
          <w:rFonts w:hint="eastAsia" w:ascii="仿宋" w:hAnsi="仿宋" w:eastAsia="仿宋"/>
          <w:color w:val="000000"/>
          <w:kern w:val="0"/>
          <w:szCs w:val="32"/>
        </w:rPr>
        <w:t>持平0</w:t>
      </w:r>
      <w:r>
        <w:rPr>
          <w:rFonts w:ascii="仿宋" w:hAnsi="仿宋" w:eastAsia="仿宋"/>
          <w:color w:val="000000"/>
          <w:kern w:val="0"/>
          <w:szCs w:val="32"/>
        </w:rPr>
        <w:t>万元，主要原因是</w:t>
      </w:r>
      <w:r>
        <w:rPr>
          <w:rFonts w:hint="eastAsia" w:ascii="仿宋" w:hAnsi="仿宋" w:eastAsia="仿宋" w:cs="仿宋"/>
          <w:color w:val="333333"/>
          <w:szCs w:val="32"/>
          <w:shd w:val="clear" w:color="auto" w:fill="FFFFFF"/>
        </w:rPr>
        <w:t>本单位无三公经费支出</w:t>
      </w:r>
      <w:r>
        <w:rPr>
          <w:rFonts w:hint="eastAsia" w:ascii="仿宋" w:hAnsi="仿宋" w:eastAsia="仿宋" w:cs="仿宋"/>
          <w:color w:val="333333"/>
          <w:szCs w:val="32"/>
          <w:shd w:val="clear" w:color="auto" w:fill="FFFFFF"/>
          <w:lang w:eastAsia="zh-CN"/>
        </w:rPr>
        <w:t>，</w:t>
      </w:r>
      <w:r>
        <w:rPr>
          <w:rFonts w:hint="eastAsia" w:ascii="仿宋" w:hAnsi="仿宋" w:eastAsia="仿宋" w:cs="仿宋"/>
          <w:color w:val="333333"/>
          <w:szCs w:val="32"/>
          <w:shd w:val="clear" w:color="auto" w:fill="FFFFFF"/>
          <w:lang w:val="en-US" w:eastAsia="zh-CN"/>
        </w:rPr>
        <w:t>已公开空表</w:t>
      </w:r>
      <w:r>
        <w:rPr>
          <w:rFonts w:ascii="仿宋" w:hAnsi="仿宋" w:eastAsia="仿宋"/>
          <w:color w:val="000000"/>
          <w:kern w:val="0"/>
          <w:szCs w:val="32"/>
        </w:rPr>
        <w:t>。</w:t>
      </w:r>
    </w:p>
    <w:p w14:paraId="5768162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2.公务用车购置费用支出情况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14:paraId="4850880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kern w:val="0"/>
          <w:szCs w:val="32"/>
        </w:rPr>
      </w:pPr>
      <w:r>
        <w:rPr>
          <w:rFonts w:ascii="仿宋" w:hAnsi="仿宋" w:eastAsia="仿宋"/>
          <w:szCs w:val="32"/>
        </w:rPr>
        <w:t>2019年度购置车辆</w:t>
      </w:r>
      <w:r>
        <w:rPr>
          <w:rFonts w:hint="eastAsia" w:ascii="仿宋" w:hAnsi="仿宋" w:eastAsia="仿宋"/>
          <w:szCs w:val="32"/>
        </w:rPr>
        <w:t>0</w:t>
      </w:r>
      <w:r>
        <w:rPr>
          <w:rFonts w:ascii="仿宋" w:hAnsi="仿宋" w:eastAsia="仿宋"/>
          <w:szCs w:val="32"/>
        </w:rPr>
        <w:t>台，</w:t>
      </w:r>
      <w:r>
        <w:rPr>
          <w:rFonts w:ascii="仿宋" w:hAnsi="仿宋" w:eastAsia="仿宋"/>
          <w:color w:val="000000"/>
          <w:kern w:val="0"/>
          <w:szCs w:val="32"/>
        </w:rPr>
        <w:t>预算为</w:t>
      </w:r>
      <w:r>
        <w:rPr>
          <w:rFonts w:hint="eastAsia" w:ascii="仿宋" w:hAnsi="仿宋" w:eastAsia="仿宋"/>
          <w:color w:val="000000"/>
          <w:kern w:val="0"/>
          <w:szCs w:val="32"/>
        </w:rPr>
        <w:t>0</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ascii="仿宋" w:hAnsi="仿宋" w:eastAsia="仿宋"/>
          <w:color w:val="000000"/>
          <w:kern w:val="0"/>
          <w:szCs w:val="32"/>
        </w:rPr>
        <w:t>万元</w:t>
      </w:r>
      <w:r>
        <w:rPr>
          <w:rFonts w:ascii="仿宋" w:hAnsi="仿宋" w:eastAsia="仿宋"/>
          <w:szCs w:val="32"/>
        </w:rPr>
        <w:t>（如没有支出填0）</w:t>
      </w:r>
      <w:r>
        <w:rPr>
          <w:rFonts w:ascii="仿宋" w:hAnsi="仿宋" w:eastAsia="仿宋"/>
          <w:color w:val="000000"/>
          <w:kern w:val="0"/>
          <w:szCs w:val="32"/>
        </w:rPr>
        <w:t>，完成预算的</w:t>
      </w:r>
      <w:r>
        <w:rPr>
          <w:rFonts w:hint="eastAsia" w:ascii="仿宋" w:hAnsi="仿宋" w:eastAsia="仿宋"/>
          <w:color w:val="000000"/>
          <w:kern w:val="0"/>
          <w:szCs w:val="32"/>
        </w:rPr>
        <w:t>0</w:t>
      </w:r>
      <w:r>
        <w:rPr>
          <w:rFonts w:ascii="仿宋" w:hAnsi="仿宋" w:eastAsia="仿宋"/>
          <w:color w:val="000000"/>
          <w:kern w:val="0"/>
          <w:szCs w:val="32"/>
        </w:rPr>
        <w:t>%，决算数较预算数</w:t>
      </w:r>
      <w:r>
        <w:rPr>
          <w:rFonts w:hint="eastAsia" w:ascii="仿宋" w:hAnsi="仿宋" w:eastAsia="仿宋"/>
          <w:color w:val="000000"/>
          <w:kern w:val="0"/>
          <w:szCs w:val="32"/>
        </w:rPr>
        <w:t>持平0</w:t>
      </w:r>
      <w:r>
        <w:rPr>
          <w:rFonts w:ascii="仿宋" w:hAnsi="仿宋" w:eastAsia="仿宋"/>
          <w:color w:val="000000"/>
          <w:kern w:val="0"/>
          <w:szCs w:val="32"/>
        </w:rPr>
        <w:t>万元，主要原因是</w:t>
      </w:r>
      <w:r>
        <w:rPr>
          <w:rFonts w:hint="eastAsia" w:ascii="仿宋" w:hAnsi="仿宋" w:eastAsia="仿宋" w:cs="仿宋"/>
          <w:color w:val="333333"/>
          <w:szCs w:val="32"/>
          <w:shd w:val="clear" w:color="auto" w:fill="FFFFFF"/>
        </w:rPr>
        <w:t>本单位无三公经费支出</w:t>
      </w:r>
      <w:r>
        <w:rPr>
          <w:rFonts w:hint="eastAsia" w:ascii="仿宋" w:hAnsi="仿宋" w:eastAsia="仿宋" w:cs="仿宋"/>
          <w:color w:val="333333"/>
          <w:szCs w:val="32"/>
          <w:shd w:val="clear" w:color="auto" w:fill="FFFFFF"/>
          <w:lang w:eastAsia="zh-CN"/>
        </w:rPr>
        <w:t>，</w:t>
      </w:r>
      <w:r>
        <w:rPr>
          <w:rFonts w:hint="eastAsia" w:ascii="仿宋" w:hAnsi="仿宋" w:eastAsia="仿宋" w:cs="仿宋"/>
          <w:color w:val="333333"/>
          <w:szCs w:val="32"/>
          <w:shd w:val="clear" w:color="auto" w:fill="FFFFFF"/>
          <w:lang w:val="en-US" w:eastAsia="zh-CN"/>
        </w:rPr>
        <w:t>已公开空表</w:t>
      </w:r>
      <w:r>
        <w:rPr>
          <w:rFonts w:ascii="仿宋" w:hAnsi="仿宋" w:eastAsia="仿宋"/>
          <w:color w:val="000000"/>
          <w:kern w:val="0"/>
          <w:szCs w:val="32"/>
        </w:rPr>
        <w:t>。</w:t>
      </w:r>
    </w:p>
    <w:p w14:paraId="5F33C83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3.公务用车运行维护费用支出情况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14:paraId="12108E5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kern w:val="0"/>
          <w:szCs w:val="32"/>
        </w:rPr>
      </w:pPr>
      <w:r>
        <w:rPr>
          <w:rFonts w:ascii="仿宋" w:hAnsi="仿宋" w:eastAsia="仿宋"/>
          <w:szCs w:val="32"/>
        </w:rPr>
        <w:t>2019年度公务用车运行维护费</w:t>
      </w:r>
      <w:r>
        <w:rPr>
          <w:rFonts w:ascii="仿宋" w:hAnsi="仿宋" w:eastAsia="仿宋"/>
          <w:color w:val="000000"/>
          <w:kern w:val="0"/>
          <w:szCs w:val="32"/>
        </w:rPr>
        <w:t>预算为</w:t>
      </w:r>
      <w:r>
        <w:rPr>
          <w:rFonts w:hint="eastAsia" w:ascii="仿宋" w:hAnsi="仿宋" w:eastAsia="仿宋"/>
          <w:color w:val="000000"/>
          <w:kern w:val="0"/>
          <w:szCs w:val="32"/>
        </w:rPr>
        <w:t>0</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ascii="仿宋" w:hAnsi="仿宋" w:eastAsia="仿宋"/>
          <w:color w:val="000000"/>
          <w:kern w:val="0"/>
          <w:szCs w:val="32"/>
        </w:rPr>
        <w:t>万元</w:t>
      </w:r>
      <w:r>
        <w:rPr>
          <w:rFonts w:ascii="仿宋" w:hAnsi="仿宋" w:eastAsia="仿宋"/>
          <w:szCs w:val="32"/>
        </w:rPr>
        <w:t>（如没有支出填0）</w:t>
      </w:r>
      <w:r>
        <w:rPr>
          <w:rFonts w:ascii="仿宋" w:hAnsi="仿宋" w:eastAsia="仿宋"/>
          <w:color w:val="000000"/>
          <w:kern w:val="0"/>
          <w:szCs w:val="32"/>
        </w:rPr>
        <w:t>，完成预算的</w:t>
      </w:r>
      <w:r>
        <w:rPr>
          <w:rFonts w:hint="eastAsia" w:ascii="仿宋" w:hAnsi="仿宋" w:eastAsia="仿宋"/>
          <w:color w:val="000000"/>
          <w:kern w:val="0"/>
          <w:szCs w:val="32"/>
        </w:rPr>
        <w:t>0</w:t>
      </w:r>
      <w:r>
        <w:rPr>
          <w:rFonts w:ascii="仿宋" w:hAnsi="仿宋" w:eastAsia="仿宋"/>
          <w:color w:val="000000"/>
          <w:kern w:val="0"/>
          <w:szCs w:val="32"/>
        </w:rPr>
        <w:t>%，决算数较预算数</w:t>
      </w:r>
      <w:r>
        <w:rPr>
          <w:rFonts w:hint="eastAsia" w:ascii="仿宋" w:hAnsi="仿宋" w:eastAsia="仿宋"/>
          <w:color w:val="000000"/>
          <w:kern w:val="0"/>
          <w:szCs w:val="32"/>
        </w:rPr>
        <w:t>持平0</w:t>
      </w:r>
      <w:r>
        <w:rPr>
          <w:rFonts w:ascii="仿宋" w:hAnsi="仿宋" w:eastAsia="仿宋"/>
          <w:color w:val="000000"/>
          <w:kern w:val="0"/>
          <w:szCs w:val="32"/>
        </w:rPr>
        <w:t>万元，主要原因是</w:t>
      </w:r>
      <w:r>
        <w:rPr>
          <w:rFonts w:hint="eastAsia" w:ascii="仿宋" w:hAnsi="仿宋" w:eastAsia="仿宋" w:cs="仿宋"/>
          <w:color w:val="333333"/>
          <w:szCs w:val="32"/>
          <w:shd w:val="clear" w:color="auto" w:fill="FFFFFF"/>
        </w:rPr>
        <w:t>本单位无三公经费支出</w:t>
      </w:r>
      <w:r>
        <w:rPr>
          <w:rFonts w:hint="eastAsia" w:ascii="仿宋" w:hAnsi="仿宋" w:eastAsia="仿宋" w:cs="仿宋"/>
          <w:color w:val="333333"/>
          <w:szCs w:val="32"/>
          <w:shd w:val="clear" w:color="auto" w:fill="FFFFFF"/>
          <w:lang w:eastAsia="zh-CN"/>
        </w:rPr>
        <w:t>，</w:t>
      </w:r>
      <w:r>
        <w:rPr>
          <w:rFonts w:hint="eastAsia" w:ascii="仿宋" w:hAnsi="仿宋" w:eastAsia="仿宋" w:cs="仿宋"/>
          <w:color w:val="333333"/>
          <w:szCs w:val="32"/>
          <w:shd w:val="clear" w:color="auto" w:fill="FFFFFF"/>
          <w:lang w:val="en-US" w:eastAsia="zh-CN"/>
        </w:rPr>
        <w:t>已公开空表</w:t>
      </w:r>
      <w:r>
        <w:rPr>
          <w:rFonts w:ascii="仿宋" w:hAnsi="仿宋" w:eastAsia="仿宋"/>
          <w:color w:val="000000"/>
          <w:kern w:val="0"/>
          <w:szCs w:val="32"/>
        </w:rPr>
        <w:t>。</w:t>
      </w:r>
    </w:p>
    <w:p w14:paraId="775574A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4.公务接待费支出情况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14:paraId="13F6A696">
      <w:pPr>
        <w:widowControl/>
        <w:spacing w:line="576" w:lineRule="exact"/>
        <w:ind w:firstLine="640" w:firstLineChars="200"/>
        <w:jc w:val="left"/>
        <w:rPr>
          <w:rFonts w:ascii="仿宋" w:hAnsi="仿宋" w:eastAsia="仿宋"/>
          <w:color w:val="000000"/>
          <w:kern w:val="0"/>
          <w:szCs w:val="32"/>
        </w:rPr>
      </w:pPr>
      <w:r>
        <w:rPr>
          <w:rFonts w:ascii="仿宋" w:hAnsi="仿宋" w:eastAsia="仿宋"/>
          <w:szCs w:val="32"/>
        </w:rPr>
        <w:t>2019年度公务接待</w:t>
      </w:r>
      <w:r>
        <w:rPr>
          <w:rFonts w:hint="eastAsia" w:ascii="仿宋" w:hAnsi="仿宋" w:eastAsia="仿宋"/>
          <w:szCs w:val="32"/>
        </w:rPr>
        <w:t>0</w:t>
      </w:r>
      <w:r>
        <w:rPr>
          <w:rFonts w:ascii="仿宋" w:hAnsi="仿宋" w:eastAsia="仿宋"/>
          <w:szCs w:val="32"/>
        </w:rPr>
        <w:t>批次，</w:t>
      </w:r>
      <w:r>
        <w:rPr>
          <w:rFonts w:hint="eastAsia" w:ascii="仿宋" w:hAnsi="仿宋" w:eastAsia="仿宋"/>
          <w:szCs w:val="32"/>
        </w:rPr>
        <w:t>0</w:t>
      </w:r>
      <w:r>
        <w:rPr>
          <w:rFonts w:ascii="仿宋" w:hAnsi="仿宋" w:eastAsia="仿宋"/>
          <w:szCs w:val="32"/>
        </w:rPr>
        <w:t>人次，</w:t>
      </w:r>
      <w:r>
        <w:rPr>
          <w:rFonts w:ascii="仿宋" w:hAnsi="仿宋" w:eastAsia="仿宋"/>
          <w:color w:val="000000"/>
          <w:kern w:val="0"/>
          <w:szCs w:val="32"/>
        </w:rPr>
        <w:t>预算为</w:t>
      </w:r>
      <w:r>
        <w:rPr>
          <w:rFonts w:hint="eastAsia" w:ascii="仿宋" w:hAnsi="仿宋" w:eastAsia="仿宋"/>
          <w:color w:val="000000"/>
          <w:kern w:val="0"/>
          <w:szCs w:val="32"/>
        </w:rPr>
        <w:t>0</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ascii="仿宋" w:hAnsi="仿宋" w:eastAsia="仿宋"/>
          <w:color w:val="000000"/>
          <w:kern w:val="0"/>
          <w:szCs w:val="32"/>
        </w:rPr>
        <w:t>万元</w:t>
      </w:r>
      <w:r>
        <w:rPr>
          <w:rFonts w:ascii="仿宋" w:hAnsi="仿宋" w:eastAsia="仿宋"/>
          <w:szCs w:val="32"/>
        </w:rPr>
        <w:t>（如没有支出填0）</w:t>
      </w:r>
      <w:r>
        <w:rPr>
          <w:rFonts w:ascii="仿宋" w:hAnsi="仿宋" w:eastAsia="仿宋"/>
          <w:color w:val="000000"/>
          <w:kern w:val="0"/>
          <w:szCs w:val="32"/>
        </w:rPr>
        <w:t>，完成预算的</w:t>
      </w:r>
      <w:r>
        <w:rPr>
          <w:rFonts w:hint="eastAsia" w:ascii="仿宋" w:hAnsi="仿宋" w:eastAsia="仿宋"/>
          <w:color w:val="000000"/>
          <w:kern w:val="0"/>
          <w:szCs w:val="32"/>
        </w:rPr>
        <w:t>0</w:t>
      </w:r>
      <w:r>
        <w:rPr>
          <w:rFonts w:ascii="仿宋" w:hAnsi="仿宋" w:eastAsia="仿宋"/>
          <w:color w:val="000000"/>
          <w:kern w:val="0"/>
          <w:szCs w:val="32"/>
        </w:rPr>
        <w:t>%，决算数较预算数</w:t>
      </w:r>
      <w:r>
        <w:rPr>
          <w:rFonts w:hint="eastAsia" w:ascii="仿宋" w:hAnsi="仿宋" w:eastAsia="仿宋"/>
          <w:color w:val="000000"/>
          <w:kern w:val="0"/>
          <w:szCs w:val="32"/>
        </w:rPr>
        <w:t>持平0</w:t>
      </w:r>
      <w:r>
        <w:rPr>
          <w:rFonts w:ascii="仿宋" w:hAnsi="仿宋" w:eastAsia="仿宋"/>
          <w:color w:val="000000"/>
          <w:kern w:val="0"/>
          <w:szCs w:val="32"/>
        </w:rPr>
        <w:t>万元，主要原因是</w:t>
      </w:r>
      <w:r>
        <w:rPr>
          <w:rFonts w:hint="eastAsia" w:ascii="仿宋" w:hAnsi="仿宋" w:eastAsia="仿宋" w:cs="仿宋"/>
          <w:color w:val="333333"/>
          <w:szCs w:val="32"/>
          <w:shd w:val="clear" w:color="auto" w:fill="FFFFFF"/>
        </w:rPr>
        <w:t>本单位无三公经费支出</w:t>
      </w:r>
      <w:r>
        <w:rPr>
          <w:rFonts w:hint="eastAsia" w:ascii="仿宋" w:hAnsi="仿宋" w:eastAsia="仿宋" w:cs="仿宋"/>
          <w:color w:val="333333"/>
          <w:szCs w:val="32"/>
          <w:shd w:val="clear" w:color="auto" w:fill="FFFFFF"/>
          <w:lang w:eastAsia="zh-CN"/>
        </w:rPr>
        <w:t>，</w:t>
      </w:r>
      <w:r>
        <w:rPr>
          <w:rFonts w:hint="eastAsia" w:ascii="仿宋" w:hAnsi="仿宋" w:eastAsia="仿宋" w:cs="仿宋"/>
          <w:color w:val="333333"/>
          <w:szCs w:val="32"/>
          <w:shd w:val="clear" w:color="auto" w:fill="FFFFFF"/>
          <w:lang w:val="en-US" w:eastAsia="zh-CN"/>
        </w:rPr>
        <w:t>已公开空表</w:t>
      </w:r>
      <w:r>
        <w:rPr>
          <w:rFonts w:ascii="仿宋" w:hAnsi="仿宋" w:eastAsia="仿宋"/>
          <w:color w:val="000000"/>
          <w:kern w:val="0"/>
          <w:szCs w:val="32"/>
        </w:rPr>
        <w:t>。</w:t>
      </w:r>
    </w:p>
    <w:p w14:paraId="6AED5AB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（三）培训费支出情况说明。</w:t>
      </w:r>
    </w:p>
    <w:p w14:paraId="5DF30092">
      <w:pPr>
        <w:widowControl/>
        <w:spacing w:line="576" w:lineRule="exact"/>
        <w:ind w:firstLine="640" w:firstLineChars="200"/>
        <w:jc w:val="left"/>
        <w:rPr>
          <w:rFonts w:ascii="仿宋" w:hAnsi="仿宋" w:eastAsia="仿宋"/>
          <w:color w:val="000000"/>
          <w:kern w:val="0"/>
          <w:szCs w:val="32"/>
        </w:rPr>
      </w:pPr>
      <w:r>
        <w:rPr>
          <w:rFonts w:ascii="仿宋" w:hAnsi="仿宋" w:eastAsia="仿宋"/>
          <w:szCs w:val="32"/>
        </w:rPr>
        <w:t>2019年度培训费</w:t>
      </w:r>
      <w:r>
        <w:rPr>
          <w:rFonts w:ascii="仿宋" w:hAnsi="仿宋" w:eastAsia="仿宋"/>
          <w:color w:val="000000"/>
          <w:kern w:val="0"/>
          <w:szCs w:val="32"/>
        </w:rPr>
        <w:t>预算为</w:t>
      </w:r>
      <w:r>
        <w:rPr>
          <w:rFonts w:hint="eastAsia" w:ascii="仿宋" w:hAnsi="仿宋" w:eastAsia="仿宋"/>
          <w:color w:val="000000"/>
          <w:kern w:val="0"/>
          <w:szCs w:val="32"/>
        </w:rPr>
        <w:t>0.</w:t>
      </w:r>
      <w:r>
        <w:rPr>
          <w:rFonts w:hint="eastAsia" w:ascii="仿宋" w:hAnsi="仿宋" w:eastAsia="仿宋"/>
          <w:color w:val="000000"/>
          <w:kern w:val="0"/>
          <w:szCs w:val="32"/>
          <w:lang w:val="en-US" w:eastAsia="zh-CN"/>
        </w:rPr>
        <w:t>4</w:t>
      </w:r>
      <w:r>
        <w:rPr>
          <w:rFonts w:ascii="仿宋" w:hAnsi="仿宋" w:eastAsia="仿宋"/>
          <w:color w:val="000000"/>
          <w:kern w:val="0"/>
          <w:szCs w:val="32"/>
        </w:rPr>
        <w:t>万元，支出决算为</w:t>
      </w:r>
      <w:r>
        <w:rPr>
          <w:rFonts w:hint="eastAsia" w:ascii="仿宋" w:hAnsi="仿宋" w:eastAsia="仿宋"/>
          <w:color w:val="000000"/>
          <w:kern w:val="0"/>
          <w:szCs w:val="32"/>
        </w:rPr>
        <w:t>0.</w:t>
      </w:r>
      <w:r>
        <w:rPr>
          <w:rFonts w:hint="eastAsia" w:ascii="仿宋" w:hAnsi="仿宋" w:eastAsia="仿宋"/>
          <w:color w:val="000000"/>
          <w:kern w:val="0"/>
          <w:szCs w:val="32"/>
          <w:lang w:val="en-US" w:eastAsia="zh-CN"/>
        </w:rPr>
        <w:t>28</w:t>
      </w:r>
      <w:r>
        <w:rPr>
          <w:rFonts w:ascii="仿宋" w:hAnsi="仿宋" w:eastAsia="仿宋"/>
          <w:color w:val="000000"/>
          <w:kern w:val="0"/>
          <w:szCs w:val="32"/>
        </w:rPr>
        <w:t>万元，完成预算的</w:t>
      </w:r>
      <w:r>
        <w:rPr>
          <w:rFonts w:hint="eastAsia" w:ascii="仿宋" w:hAnsi="仿宋" w:eastAsia="仿宋"/>
          <w:color w:val="000000"/>
          <w:kern w:val="0"/>
          <w:szCs w:val="32"/>
          <w:lang w:val="en-US" w:eastAsia="zh-CN"/>
        </w:rPr>
        <w:t>70</w:t>
      </w:r>
      <w:r>
        <w:rPr>
          <w:rFonts w:ascii="仿宋" w:hAnsi="仿宋" w:eastAsia="仿宋"/>
          <w:color w:val="000000"/>
          <w:kern w:val="0"/>
          <w:szCs w:val="32"/>
        </w:rPr>
        <w:t>%，决算数较预算数减少</w:t>
      </w:r>
      <w:r>
        <w:rPr>
          <w:rFonts w:hint="eastAsia" w:ascii="仿宋" w:hAnsi="仿宋" w:eastAsia="仿宋"/>
          <w:color w:val="000000"/>
          <w:kern w:val="0"/>
          <w:szCs w:val="32"/>
        </w:rPr>
        <w:t>0.</w:t>
      </w:r>
      <w:r>
        <w:rPr>
          <w:rFonts w:hint="eastAsia" w:ascii="仿宋" w:hAnsi="仿宋" w:eastAsia="仿宋"/>
          <w:color w:val="000000"/>
          <w:kern w:val="0"/>
          <w:szCs w:val="32"/>
          <w:lang w:val="en-US" w:eastAsia="zh-CN"/>
        </w:rPr>
        <w:t>12</w:t>
      </w:r>
      <w:r>
        <w:rPr>
          <w:rFonts w:ascii="仿宋" w:hAnsi="仿宋" w:eastAsia="仿宋"/>
          <w:color w:val="000000"/>
          <w:kern w:val="0"/>
          <w:szCs w:val="32"/>
        </w:rPr>
        <w:t>万元，主要原因是</w:t>
      </w:r>
      <w:r>
        <w:rPr>
          <w:rFonts w:hint="eastAsia" w:ascii="仿宋" w:hAnsi="仿宋" w:eastAsia="仿宋"/>
          <w:color w:val="000000"/>
          <w:kern w:val="0"/>
          <w:szCs w:val="32"/>
        </w:rPr>
        <w:t>压缩了培训经费</w:t>
      </w:r>
      <w:r>
        <w:rPr>
          <w:rFonts w:ascii="仿宋" w:hAnsi="仿宋" w:eastAsia="仿宋"/>
          <w:color w:val="000000"/>
          <w:kern w:val="0"/>
          <w:szCs w:val="32"/>
        </w:rPr>
        <w:t>。</w:t>
      </w:r>
    </w:p>
    <w:p w14:paraId="33C9759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（四）会议费支出情况说明。</w:t>
      </w:r>
    </w:p>
    <w:p w14:paraId="1376565B">
      <w:pPr>
        <w:snapToGrid w:val="0"/>
        <w:spacing w:line="520" w:lineRule="exact"/>
        <w:ind w:firstLine="640" w:firstLineChars="200"/>
        <w:rPr>
          <w:rFonts w:ascii="仿宋" w:hAnsi="仿宋" w:eastAsia="仿宋"/>
          <w:szCs w:val="32"/>
        </w:rPr>
      </w:pPr>
      <w:r>
        <w:rPr>
          <w:rFonts w:ascii="仿宋" w:hAnsi="仿宋" w:eastAsia="仿宋"/>
          <w:szCs w:val="32"/>
        </w:rPr>
        <w:t>2019年度会议费</w:t>
      </w:r>
      <w:r>
        <w:rPr>
          <w:rFonts w:ascii="仿宋" w:hAnsi="仿宋" w:eastAsia="仿宋"/>
          <w:color w:val="000000"/>
          <w:kern w:val="0"/>
          <w:szCs w:val="32"/>
        </w:rPr>
        <w:t>预算为</w:t>
      </w:r>
      <w:r>
        <w:rPr>
          <w:rFonts w:hint="eastAsia" w:ascii="仿宋" w:hAnsi="仿宋" w:eastAsia="仿宋"/>
          <w:color w:val="000000"/>
          <w:kern w:val="0"/>
          <w:szCs w:val="32"/>
          <w:lang w:val="en-US" w:eastAsia="zh-CN"/>
        </w:rPr>
        <w:t>0</w:t>
      </w:r>
      <w:r>
        <w:rPr>
          <w:rFonts w:ascii="仿宋" w:hAnsi="仿宋" w:eastAsia="仿宋"/>
          <w:color w:val="000000"/>
          <w:kern w:val="0"/>
          <w:szCs w:val="32"/>
        </w:rPr>
        <w:t>万元，支出决算为</w:t>
      </w:r>
      <w:r>
        <w:rPr>
          <w:rFonts w:hint="eastAsia" w:ascii="仿宋" w:hAnsi="仿宋" w:eastAsia="仿宋"/>
          <w:color w:val="000000"/>
          <w:kern w:val="0"/>
          <w:szCs w:val="32"/>
          <w:lang w:val="en-US" w:eastAsia="zh-CN"/>
        </w:rPr>
        <w:t>0</w:t>
      </w:r>
      <w:r>
        <w:rPr>
          <w:rFonts w:ascii="仿宋" w:hAnsi="仿宋" w:eastAsia="仿宋"/>
          <w:color w:val="000000"/>
          <w:kern w:val="0"/>
          <w:szCs w:val="32"/>
        </w:rPr>
        <w:t>万元</w:t>
      </w:r>
      <w:r>
        <w:rPr>
          <w:rFonts w:ascii="仿宋" w:hAnsi="仿宋" w:eastAsia="仿宋"/>
          <w:szCs w:val="32"/>
        </w:rPr>
        <w:t>（如没有支出填0）</w:t>
      </w:r>
      <w:r>
        <w:rPr>
          <w:rFonts w:ascii="仿宋" w:hAnsi="仿宋" w:eastAsia="仿宋"/>
          <w:color w:val="000000"/>
          <w:kern w:val="0"/>
          <w:szCs w:val="32"/>
        </w:rPr>
        <w:t>，完成预算的</w:t>
      </w:r>
      <w:r>
        <w:rPr>
          <w:rFonts w:hint="eastAsia" w:ascii="仿宋" w:hAnsi="仿宋" w:eastAsia="仿宋"/>
          <w:color w:val="000000"/>
          <w:kern w:val="0"/>
          <w:szCs w:val="32"/>
          <w:lang w:val="en-US" w:eastAsia="zh-CN"/>
        </w:rPr>
        <w:t>0</w:t>
      </w:r>
      <w:r>
        <w:rPr>
          <w:rFonts w:ascii="仿宋" w:hAnsi="仿宋" w:eastAsia="仿宋"/>
          <w:color w:val="000000"/>
          <w:kern w:val="0"/>
          <w:szCs w:val="32"/>
        </w:rPr>
        <w:t>%，主要原因是</w:t>
      </w:r>
      <w:r>
        <w:rPr>
          <w:rFonts w:hint="eastAsia" w:ascii="仿宋" w:hAnsi="仿宋" w:eastAsia="仿宋"/>
          <w:color w:val="000000"/>
          <w:kern w:val="0"/>
          <w:szCs w:val="32"/>
          <w:lang w:val="en-US" w:eastAsia="zh-CN"/>
        </w:rPr>
        <w:t>本单位无</w:t>
      </w:r>
      <w:r>
        <w:rPr>
          <w:rFonts w:hint="eastAsia" w:ascii="仿宋" w:hAnsi="仿宋" w:eastAsia="仿宋"/>
          <w:szCs w:val="32"/>
        </w:rPr>
        <w:t>会议</w:t>
      </w:r>
      <w:r>
        <w:rPr>
          <w:rFonts w:hint="eastAsia" w:ascii="仿宋" w:hAnsi="仿宋" w:eastAsia="仿宋"/>
          <w:szCs w:val="32"/>
          <w:lang w:val="en-US" w:eastAsia="zh-CN"/>
        </w:rPr>
        <w:t>费支出</w:t>
      </w:r>
      <w:r>
        <w:rPr>
          <w:rFonts w:hint="eastAsia" w:ascii="仿宋" w:hAnsi="仿宋" w:eastAsia="仿宋"/>
          <w:szCs w:val="32"/>
        </w:rPr>
        <w:t>。</w:t>
      </w:r>
    </w:p>
    <w:p w14:paraId="2EDF39A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八、政府性基金预算财政拨款收入支出情况说明 </w:t>
      </w:r>
    </w:p>
    <w:p w14:paraId="7487D19F">
      <w:pPr>
        <w:spacing w:line="576" w:lineRule="exact"/>
        <w:ind w:firstLine="640" w:firstLineChars="200"/>
        <w:rPr>
          <w:rFonts w:ascii="Times New Roman" w:hAnsi="Times New Roman" w:eastAsia="仿宋_GB2312"/>
          <w:szCs w:val="32"/>
        </w:rPr>
      </w:pPr>
      <w:r>
        <w:rPr>
          <w:rFonts w:ascii="Times New Roman" w:hAnsi="Times New Roman" w:eastAsia="仿宋_GB2312"/>
          <w:szCs w:val="32"/>
        </w:rPr>
        <w:t>本</w:t>
      </w:r>
      <w:r>
        <w:rPr>
          <w:rFonts w:hint="eastAsia" w:ascii="Times New Roman" w:hAnsi="Times New Roman" w:eastAsia="仿宋_GB2312"/>
          <w:szCs w:val="32"/>
          <w:lang w:val="en-US" w:eastAsia="zh-CN"/>
        </w:rPr>
        <w:t>单位</w:t>
      </w:r>
      <w:r>
        <w:rPr>
          <w:rFonts w:ascii="Times New Roman" w:hAnsi="Times New Roman" w:eastAsia="仿宋_GB2312"/>
          <w:szCs w:val="32"/>
        </w:rPr>
        <w:t>无政府性基金决算收支，并已公开空表</w:t>
      </w:r>
    </w:p>
    <w:p w14:paraId="1062B08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九、国有资本经营财政拨款收入支出情况说明</w:t>
      </w:r>
    </w:p>
    <w:p w14:paraId="19BED261">
      <w:pPr>
        <w:spacing w:line="576" w:lineRule="exact"/>
        <w:ind w:firstLine="640" w:firstLineChars="200"/>
        <w:rPr>
          <w:rFonts w:ascii="Times New Roman" w:hAnsi="Times New Roman" w:eastAsia="仿宋_GB2312"/>
          <w:szCs w:val="32"/>
        </w:rPr>
      </w:pPr>
      <w:r>
        <w:rPr>
          <w:rFonts w:ascii="Times New Roman" w:hAnsi="Times New Roman" w:eastAsia="仿宋_GB2312"/>
          <w:szCs w:val="32"/>
        </w:rPr>
        <w:t>本部门无政府性基金决算收支，并已公开空表</w:t>
      </w:r>
    </w:p>
    <w:p w14:paraId="413CABF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十、预算绩效情况说明</w:t>
      </w:r>
    </w:p>
    <w:p w14:paraId="04EBD4A2">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ascii="仿宋_GB2312" w:eastAsia="仿宋_GB2312"/>
          <w:color w:val="000000"/>
          <w:sz w:val="32"/>
          <w:szCs w:val="32"/>
        </w:rPr>
      </w:pPr>
      <w:r>
        <w:rPr>
          <w:rFonts w:hint="default" w:ascii="Times New Roman" w:hAnsi="Times New Roman" w:eastAsia="楷体_GB2312" w:cs="Times New Roman"/>
          <w:b/>
          <w:color w:val="000000"/>
          <w:kern w:val="0"/>
          <w:szCs w:val="32"/>
        </w:rPr>
        <w:t>（一）预算绩效管理工作开展情况说明。</w:t>
      </w:r>
    </w:p>
    <w:p w14:paraId="1FCC38A5">
      <w:pPr>
        <w:spacing w:line="560" w:lineRule="exact"/>
        <w:ind w:firstLine="482" w:firstLineChars="150"/>
        <w:rPr>
          <w:rFonts w:hint="default" w:ascii="仿宋" w:hAnsi="仿宋" w:eastAsia="仿宋" w:cs="仿宋_GB2312"/>
          <w:szCs w:val="32"/>
          <w:lang w:val="en-US" w:eastAsia="zh-CN"/>
        </w:rPr>
      </w:pPr>
      <w:r>
        <w:rPr>
          <w:rFonts w:hint="default" w:ascii="Times New Roman" w:hAnsi="Times New Roman" w:eastAsia="楷体_GB2312" w:cs="Times New Roman"/>
          <w:b/>
          <w:color w:val="000000"/>
          <w:kern w:val="0"/>
          <w:szCs w:val="32"/>
        </w:rPr>
        <w:t xml:space="preserve"> </w:t>
      </w:r>
      <w:r>
        <w:rPr>
          <w:rFonts w:ascii="仿宋" w:hAnsi="仿宋" w:eastAsia="仿宋"/>
          <w:szCs w:val="32"/>
        </w:rPr>
        <w:t>根据预算绩效管理要求，</w:t>
      </w:r>
      <w:r>
        <w:rPr>
          <w:rFonts w:hint="eastAsia" w:ascii="仿宋" w:hAnsi="仿宋" w:eastAsia="仿宋" w:cs="仿宋_GB2312"/>
          <w:szCs w:val="32"/>
        </w:rPr>
        <w:t>区</w:t>
      </w:r>
      <w:r>
        <w:rPr>
          <w:rFonts w:hint="eastAsia" w:ascii="仿宋" w:hAnsi="仿宋" w:eastAsia="仿宋" w:cs="仿宋_GB2312"/>
          <w:szCs w:val="32"/>
          <w:lang w:val="en-US" w:eastAsia="zh-CN"/>
        </w:rPr>
        <w:t>科协</w:t>
      </w:r>
      <w:r>
        <w:rPr>
          <w:rFonts w:hint="eastAsia" w:ascii="仿宋" w:hAnsi="仿宋" w:eastAsia="仿宋" w:cs="仿宋_GB2312"/>
          <w:szCs w:val="32"/>
        </w:rPr>
        <w:t>实施重要项目</w:t>
      </w:r>
      <w:r>
        <w:rPr>
          <w:rFonts w:hint="eastAsia" w:ascii="仿宋" w:hAnsi="仿宋" w:eastAsia="仿宋" w:cs="仿宋_GB2312"/>
          <w:color w:val="000000"/>
          <w:szCs w:val="32"/>
          <w:lang w:val="en-US" w:eastAsia="zh-CN"/>
        </w:rPr>
        <w:t>社区科普工作及社区科普大学经费</w:t>
      </w:r>
      <w:r>
        <w:rPr>
          <w:rFonts w:hint="eastAsia" w:ascii="仿宋" w:hAnsi="仿宋" w:eastAsia="仿宋" w:cs="仿宋_GB2312"/>
          <w:szCs w:val="32"/>
        </w:rPr>
        <w:t>，</w:t>
      </w:r>
      <w:r>
        <w:rPr>
          <w:rFonts w:hint="eastAsia" w:ascii="仿宋" w:hAnsi="仿宋" w:eastAsia="仿宋" w:cs="仿宋_GB2312"/>
          <w:szCs w:val="32"/>
          <w:lang w:val="en-US" w:eastAsia="zh-CN"/>
        </w:rPr>
        <w:t>主要用于10个社区教学点开展社区科普工作及社区科普大学教学活动。年度预算2万元。</w:t>
      </w:r>
    </w:p>
    <w:p w14:paraId="6CF7D29A">
      <w:pPr>
        <w:widowControl/>
        <w:spacing w:line="576" w:lineRule="exact"/>
        <w:ind w:firstLine="640" w:firstLineChars="200"/>
        <w:jc w:val="left"/>
        <w:rPr>
          <w:rFonts w:hint="eastAsia" w:ascii="Times New Roman" w:hAnsi="Times New Roman" w:eastAsia="楷体_GB2312" w:cs="Times New Roman"/>
          <w:b/>
          <w:color w:val="000000"/>
          <w:kern w:val="0"/>
          <w:szCs w:val="32"/>
          <w:lang w:val="en-US" w:eastAsia="zh-CN"/>
        </w:rPr>
      </w:pPr>
      <w:r>
        <w:rPr>
          <w:rFonts w:ascii="Times New Roman" w:hAnsi="Times New Roman" w:eastAsia="仿宋_GB2312"/>
          <w:szCs w:val="32"/>
        </w:rPr>
        <w:t>本</w:t>
      </w:r>
      <w:r>
        <w:rPr>
          <w:rFonts w:hint="eastAsia" w:ascii="Times New Roman" w:hAnsi="Times New Roman" w:eastAsia="仿宋_GB2312"/>
          <w:szCs w:val="32"/>
          <w:lang w:val="en-US" w:eastAsia="zh-CN"/>
        </w:rPr>
        <w:t>单位已</w:t>
      </w:r>
      <w:r>
        <w:rPr>
          <w:rFonts w:ascii="Times New Roman" w:hAnsi="Times New Roman" w:eastAsia="仿宋_GB2312"/>
          <w:szCs w:val="32"/>
        </w:rPr>
        <w:t>对2019年度部门整体进行了绩效自评，涉及</w:t>
      </w:r>
      <w:r>
        <w:rPr>
          <w:rFonts w:hint="eastAsia" w:ascii="Times New Roman" w:hAnsi="Times New Roman" w:eastAsia="仿宋_GB2312"/>
          <w:szCs w:val="32"/>
          <w:lang w:val="en-US" w:eastAsia="zh-CN"/>
        </w:rPr>
        <w:t>项目有人员经费支出2万元</w:t>
      </w:r>
      <w:r>
        <w:rPr>
          <w:rFonts w:ascii="Times New Roman" w:hAnsi="Times New Roman" w:eastAsia="仿宋_GB2312"/>
          <w:szCs w:val="32"/>
        </w:rPr>
        <w:t>。</w:t>
      </w:r>
    </w:p>
    <w:p w14:paraId="6D867480">
      <w:pPr>
        <w:keepNext w:val="0"/>
        <w:keepLines w:val="0"/>
        <w:pageBreakBefore w:val="0"/>
        <w:widowControl/>
        <w:numPr>
          <w:ilvl w:val="0"/>
          <w:numId w:val="3"/>
        </w:numPr>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部门决算中项目绩效自评结果。</w:t>
      </w:r>
    </w:p>
    <w:p w14:paraId="031AB298">
      <w:pPr>
        <w:widowControl/>
        <w:spacing w:line="576" w:lineRule="exact"/>
        <w:ind w:firstLine="640" w:firstLineChars="200"/>
        <w:jc w:val="left"/>
        <w:rPr>
          <w:rFonts w:ascii="Times New Roman" w:hAnsi="Times New Roman" w:eastAsia="仿宋_GB2312"/>
          <w:color w:val="000000"/>
          <w:kern w:val="0"/>
          <w:sz w:val="31"/>
          <w:szCs w:val="31"/>
        </w:rPr>
      </w:pPr>
      <w:r>
        <w:rPr>
          <w:rFonts w:hint="eastAsia" w:ascii="仿宋" w:hAnsi="仿宋" w:eastAsia="仿宋" w:cs="仿宋_GB2312"/>
          <w:color w:val="000000"/>
          <w:szCs w:val="32"/>
          <w:lang w:val="en-US" w:eastAsia="zh-CN"/>
        </w:rPr>
        <w:t>社区科普工作及社区科普大学经费</w:t>
      </w:r>
      <w:r>
        <w:rPr>
          <w:rFonts w:ascii="Times New Roman" w:hAnsi="Times New Roman" w:eastAsia="仿宋_GB2312"/>
          <w:color w:val="000000"/>
          <w:kern w:val="0"/>
          <w:sz w:val="31"/>
          <w:szCs w:val="31"/>
        </w:rPr>
        <w:t>项目绩效自评综述：根据年初设定的绩效目标，项目自评得分</w:t>
      </w:r>
      <w:r>
        <w:rPr>
          <w:rFonts w:hint="eastAsia" w:ascii="Times New Roman" w:hAnsi="Times New Roman" w:eastAsia="仿宋_GB2312"/>
          <w:color w:val="000000"/>
          <w:kern w:val="0"/>
          <w:sz w:val="31"/>
          <w:szCs w:val="31"/>
        </w:rPr>
        <w:t>100</w:t>
      </w:r>
      <w:r>
        <w:rPr>
          <w:rFonts w:ascii="Times New Roman" w:hAnsi="Times New Roman" w:eastAsia="仿宋_GB2312"/>
          <w:color w:val="000000"/>
          <w:kern w:val="0"/>
          <w:sz w:val="31"/>
          <w:szCs w:val="31"/>
        </w:rPr>
        <w:t>分。项目全年预算数</w:t>
      </w:r>
      <w:r>
        <w:rPr>
          <w:rFonts w:hint="eastAsia" w:ascii="Times New Roman" w:hAnsi="Times New Roman" w:eastAsia="仿宋_GB2312"/>
          <w:color w:val="000000"/>
          <w:kern w:val="0"/>
          <w:sz w:val="31"/>
          <w:szCs w:val="31"/>
          <w:lang w:val="en-US" w:eastAsia="zh-CN"/>
        </w:rPr>
        <w:t>2</w:t>
      </w:r>
      <w:r>
        <w:rPr>
          <w:rFonts w:ascii="Times New Roman" w:hAnsi="Times New Roman" w:eastAsia="仿宋_GB2312"/>
          <w:color w:val="000000"/>
          <w:kern w:val="0"/>
          <w:sz w:val="31"/>
          <w:szCs w:val="31"/>
        </w:rPr>
        <w:t xml:space="preserve">万元，执行数 </w:t>
      </w:r>
      <w:r>
        <w:rPr>
          <w:rFonts w:hint="eastAsia" w:ascii="Times New Roman" w:hAnsi="Times New Roman" w:eastAsia="仿宋_GB2312"/>
          <w:color w:val="000000"/>
          <w:kern w:val="0"/>
          <w:sz w:val="31"/>
          <w:szCs w:val="31"/>
          <w:lang w:val="en-US" w:eastAsia="zh-CN"/>
        </w:rPr>
        <w:t>2</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lang w:val="en-US" w:eastAsia="zh-CN"/>
        </w:rPr>
        <w:t>100</w:t>
      </w:r>
      <w:r>
        <w:rPr>
          <w:rFonts w:ascii="Times New Roman" w:hAnsi="Times New Roman" w:eastAsia="仿宋_GB2312"/>
          <w:color w:val="000000"/>
          <w:kern w:val="0"/>
          <w:sz w:val="31"/>
          <w:szCs w:val="31"/>
        </w:rPr>
        <w:t>%。</w:t>
      </w:r>
    </w:p>
    <w:tbl>
      <w:tblPr>
        <w:tblStyle w:val="6"/>
        <w:tblW w:w="0" w:type="auto"/>
        <w:tblInd w:w="-106" w:type="dxa"/>
        <w:tblLayout w:type="fixed"/>
        <w:tblCellMar>
          <w:top w:w="0" w:type="dxa"/>
          <w:left w:w="108" w:type="dxa"/>
          <w:bottom w:w="0" w:type="dxa"/>
          <w:right w:w="108" w:type="dxa"/>
        </w:tblCellMar>
      </w:tblPr>
      <w:tblGrid>
        <w:gridCol w:w="437"/>
        <w:gridCol w:w="753"/>
        <w:gridCol w:w="1078"/>
        <w:gridCol w:w="2033"/>
        <w:gridCol w:w="860"/>
        <w:gridCol w:w="768"/>
        <w:gridCol w:w="895"/>
        <w:gridCol w:w="689"/>
        <w:gridCol w:w="1109"/>
        <w:gridCol w:w="536"/>
      </w:tblGrid>
      <w:tr w14:paraId="5F601AD4">
        <w:tblPrEx>
          <w:tblCellMar>
            <w:top w:w="0" w:type="dxa"/>
            <w:left w:w="108" w:type="dxa"/>
            <w:bottom w:w="0" w:type="dxa"/>
            <w:right w:w="108" w:type="dxa"/>
          </w:tblCellMar>
        </w:tblPrEx>
        <w:trPr>
          <w:gridAfter w:val="1"/>
          <w:wAfter w:w="536" w:type="dxa"/>
          <w:trHeight w:val="450" w:hRule="atLeast"/>
        </w:trPr>
        <w:tc>
          <w:tcPr>
            <w:tcW w:w="8622" w:type="dxa"/>
            <w:gridSpan w:val="9"/>
            <w:tcBorders>
              <w:top w:val="nil"/>
              <w:left w:val="nil"/>
              <w:bottom w:val="nil"/>
              <w:right w:val="nil"/>
            </w:tcBorders>
            <w:noWrap w:val="0"/>
            <w:vAlign w:val="center"/>
          </w:tcPr>
          <w:p w14:paraId="5B88CF16">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项目支出绩效自评表</w:t>
            </w:r>
          </w:p>
        </w:tc>
      </w:tr>
      <w:tr w14:paraId="2EBCB0CB">
        <w:tblPrEx>
          <w:tblCellMar>
            <w:top w:w="0" w:type="dxa"/>
            <w:left w:w="108" w:type="dxa"/>
            <w:bottom w:w="0" w:type="dxa"/>
            <w:right w:w="108" w:type="dxa"/>
          </w:tblCellMar>
        </w:tblPrEx>
        <w:trPr>
          <w:gridAfter w:val="1"/>
          <w:wAfter w:w="536" w:type="dxa"/>
          <w:trHeight w:val="375" w:hRule="atLeast"/>
        </w:trPr>
        <w:tc>
          <w:tcPr>
            <w:tcW w:w="8622" w:type="dxa"/>
            <w:gridSpan w:val="9"/>
            <w:tcBorders>
              <w:top w:val="nil"/>
              <w:left w:val="nil"/>
              <w:bottom w:val="nil"/>
              <w:right w:val="nil"/>
            </w:tcBorders>
            <w:noWrap w:val="0"/>
            <w:vAlign w:val="center"/>
          </w:tcPr>
          <w:p w14:paraId="151D1AA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2019</w:t>
            </w:r>
            <w:r>
              <w:rPr>
                <w:rFonts w:hint="eastAsia" w:ascii="宋体" w:hAnsi="宋体" w:cs="宋体"/>
                <w:color w:val="000000"/>
                <w:kern w:val="0"/>
                <w:sz w:val="24"/>
                <w:szCs w:val="24"/>
              </w:rPr>
              <w:t>年度）</w:t>
            </w:r>
          </w:p>
        </w:tc>
      </w:tr>
      <w:tr w14:paraId="512549E0">
        <w:tblPrEx>
          <w:tblCellMar>
            <w:top w:w="0" w:type="dxa"/>
            <w:left w:w="108" w:type="dxa"/>
            <w:bottom w:w="0" w:type="dxa"/>
            <w:right w:w="108" w:type="dxa"/>
          </w:tblCellMar>
        </w:tblPrEx>
        <w:trPr>
          <w:gridAfter w:val="1"/>
          <w:wAfter w:w="536" w:type="dxa"/>
          <w:trHeight w:val="285" w:hRule="atLeast"/>
        </w:trPr>
        <w:tc>
          <w:tcPr>
            <w:tcW w:w="1190" w:type="dxa"/>
            <w:gridSpan w:val="2"/>
            <w:tcBorders>
              <w:top w:val="single" w:color="000000" w:sz="4" w:space="0"/>
              <w:left w:val="single" w:color="000000" w:sz="4" w:space="0"/>
              <w:bottom w:val="single" w:color="000000" w:sz="4" w:space="0"/>
              <w:right w:val="single" w:color="000000" w:sz="4" w:space="0"/>
            </w:tcBorders>
            <w:noWrap w:val="0"/>
            <w:vAlign w:val="center"/>
          </w:tcPr>
          <w:p w14:paraId="7E3FCB17">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7432" w:type="dxa"/>
            <w:gridSpan w:val="7"/>
            <w:tcBorders>
              <w:top w:val="single" w:color="000000" w:sz="4" w:space="0"/>
              <w:left w:val="nil"/>
              <w:bottom w:val="single" w:color="000000" w:sz="4" w:space="0"/>
              <w:right w:val="single" w:color="000000" w:sz="4" w:space="0"/>
            </w:tcBorders>
            <w:noWrap w:val="0"/>
            <w:vAlign w:val="center"/>
          </w:tcPr>
          <w:p w14:paraId="6C37978D">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社区科普工作及社区科普大学经费</w:t>
            </w:r>
            <w:r>
              <w:rPr>
                <w:rFonts w:hint="eastAsia" w:ascii="宋体" w:hAnsi="宋体" w:cs="宋体"/>
                <w:color w:val="000000"/>
                <w:kern w:val="0"/>
                <w:sz w:val="24"/>
                <w:szCs w:val="24"/>
              </w:rPr>
              <w:t>　</w:t>
            </w:r>
          </w:p>
        </w:tc>
      </w:tr>
      <w:tr w14:paraId="1D5BF8C4">
        <w:tblPrEx>
          <w:tblCellMar>
            <w:top w:w="0" w:type="dxa"/>
            <w:left w:w="108" w:type="dxa"/>
            <w:bottom w:w="0" w:type="dxa"/>
            <w:right w:w="108" w:type="dxa"/>
          </w:tblCellMar>
        </w:tblPrEx>
        <w:trPr>
          <w:gridAfter w:val="1"/>
          <w:wAfter w:w="536" w:type="dxa"/>
          <w:trHeight w:val="285" w:hRule="atLeast"/>
        </w:trPr>
        <w:tc>
          <w:tcPr>
            <w:tcW w:w="1190" w:type="dxa"/>
            <w:gridSpan w:val="2"/>
            <w:tcBorders>
              <w:top w:val="single" w:color="000000" w:sz="4" w:space="0"/>
              <w:left w:val="single" w:color="000000" w:sz="4" w:space="0"/>
              <w:bottom w:val="single" w:color="000000" w:sz="4" w:space="0"/>
              <w:right w:val="single" w:color="000000" w:sz="4" w:space="0"/>
            </w:tcBorders>
            <w:noWrap w:val="0"/>
            <w:vAlign w:val="center"/>
          </w:tcPr>
          <w:p w14:paraId="4AF9B7C9">
            <w:pPr>
              <w:widowControl/>
              <w:jc w:val="center"/>
              <w:rPr>
                <w:rFonts w:ascii="宋体" w:hAnsi="宋体" w:cs="宋体"/>
                <w:color w:val="000000"/>
                <w:kern w:val="0"/>
                <w:sz w:val="24"/>
                <w:szCs w:val="24"/>
              </w:rPr>
            </w:pPr>
            <w:r>
              <w:rPr>
                <w:rFonts w:hint="eastAsia" w:ascii="宋体" w:hAnsi="宋体" w:cs="宋体"/>
                <w:color w:val="000000"/>
                <w:kern w:val="0"/>
                <w:sz w:val="24"/>
                <w:szCs w:val="24"/>
              </w:rPr>
              <w:t>主管部门</w:t>
            </w:r>
          </w:p>
        </w:tc>
        <w:tc>
          <w:tcPr>
            <w:tcW w:w="3971" w:type="dxa"/>
            <w:gridSpan w:val="3"/>
            <w:tcBorders>
              <w:top w:val="single" w:color="000000" w:sz="4" w:space="0"/>
              <w:left w:val="nil"/>
              <w:bottom w:val="single" w:color="000000" w:sz="4" w:space="0"/>
              <w:right w:val="single" w:color="000000" w:sz="4" w:space="0"/>
            </w:tcBorders>
            <w:noWrap w:val="0"/>
            <w:vAlign w:val="center"/>
          </w:tcPr>
          <w:p w14:paraId="1686A30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single" w:color="000000" w:sz="4" w:space="0"/>
              <w:left w:val="nil"/>
              <w:bottom w:val="single" w:color="000000" w:sz="4" w:space="0"/>
              <w:right w:val="single" w:color="000000" w:sz="4" w:space="0"/>
            </w:tcBorders>
            <w:noWrap w:val="0"/>
            <w:vAlign w:val="center"/>
          </w:tcPr>
          <w:p w14:paraId="4B5CAB6C">
            <w:pPr>
              <w:widowControl/>
              <w:jc w:val="center"/>
              <w:rPr>
                <w:rFonts w:ascii="宋体" w:hAnsi="宋体" w:cs="宋体"/>
                <w:color w:val="000000"/>
                <w:kern w:val="0"/>
                <w:sz w:val="24"/>
                <w:szCs w:val="24"/>
              </w:rPr>
            </w:pPr>
            <w:r>
              <w:rPr>
                <w:rFonts w:hint="eastAsia" w:ascii="宋体" w:hAnsi="宋体" w:cs="宋体"/>
                <w:color w:val="000000"/>
                <w:kern w:val="0"/>
                <w:sz w:val="24"/>
                <w:szCs w:val="24"/>
              </w:rPr>
              <w:t>实施单位</w:t>
            </w:r>
          </w:p>
        </w:tc>
        <w:tc>
          <w:tcPr>
            <w:tcW w:w="2693" w:type="dxa"/>
            <w:gridSpan w:val="3"/>
            <w:tcBorders>
              <w:top w:val="single" w:color="000000" w:sz="4" w:space="0"/>
              <w:left w:val="nil"/>
              <w:bottom w:val="single" w:color="000000" w:sz="4" w:space="0"/>
              <w:right w:val="single" w:color="000000" w:sz="4" w:space="0"/>
            </w:tcBorders>
            <w:noWrap w:val="0"/>
            <w:vAlign w:val="center"/>
          </w:tcPr>
          <w:p w14:paraId="4A5EF9E4">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西安市灞桥区科学技术协会</w:t>
            </w:r>
            <w:r>
              <w:rPr>
                <w:rFonts w:hint="eastAsia" w:ascii="宋体" w:hAnsi="宋体" w:cs="宋体"/>
                <w:color w:val="000000"/>
                <w:kern w:val="0"/>
                <w:sz w:val="24"/>
                <w:szCs w:val="24"/>
              </w:rPr>
              <w:t>　</w:t>
            </w:r>
          </w:p>
        </w:tc>
      </w:tr>
      <w:tr w14:paraId="4F706912">
        <w:tblPrEx>
          <w:tblCellMar>
            <w:top w:w="0" w:type="dxa"/>
            <w:left w:w="108" w:type="dxa"/>
            <w:bottom w:w="0" w:type="dxa"/>
            <w:right w:w="108" w:type="dxa"/>
          </w:tblCellMar>
        </w:tblPrEx>
        <w:trPr>
          <w:gridAfter w:val="1"/>
          <w:wAfter w:w="536" w:type="dxa"/>
          <w:trHeight w:val="540" w:hRule="atLeast"/>
        </w:trPr>
        <w:tc>
          <w:tcPr>
            <w:tcW w:w="1190" w:type="dxa"/>
            <w:gridSpan w:val="2"/>
            <w:tcBorders>
              <w:top w:val="single" w:color="000000" w:sz="4" w:space="0"/>
              <w:left w:val="single" w:color="000000" w:sz="4" w:space="0"/>
              <w:bottom w:val="single" w:color="000000" w:sz="4" w:space="0"/>
              <w:right w:val="single" w:color="000000" w:sz="4" w:space="0"/>
            </w:tcBorders>
            <w:noWrap w:val="0"/>
            <w:vAlign w:val="center"/>
          </w:tcPr>
          <w:p w14:paraId="5133EEE5">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项目资金</w:t>
            </w:r>
          </w:p>
        </w:tc>
        <w:tc>
          <w:tcPr>
            <w:tcW w:w="1078" w:type="dxa"/>
            <w:tcBorders>
              <w:top w:val="single" w:color="000000" w:sz="4" w:space="0"/>
              <w:left w:val="nil"/>
              <w:bottom w:val="single" w:color="000000" w:sz="4" w:space="0"/>
              <w:right w:val="single" w:color="000000" w:sz="4" w:space="0"/>
            </w:tcBorders>
            <w:noWrap w:val="0"/>
            <w:vAlign w:val="center"/>
          </w:tcPr>
          <w:p w14:paraId="7DFAAFD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2万元</w:t>
            </w:r>
            <w:r>
              <w:rPr>
                <w:rFonts w:hint="eastAsia" w:ascii="宋体" w:hAnsi="宋体" w:cs="宋体"/>
                <w:color w:val="000000"/>
                <w:kern w:val="0"/>
                <w:sz w:val="24"/>
                <w:szCs w:val="24"/>
              </w:rPr>
              <w:t>　</w:t>
            </w:r>
          </w:p>
        </w:tc>
        <w:tc>
          <w:tcPr>
            <w:tcW w:w="2033" w:type="dxa"/>
            <w:tcBorders>
              <w:top w:val="nil"/>
              <w:left w:val="nil"/>
              <w:bottom w:val="single" w:color="000000" w:sz="4" w:space="0"/>
              <w:right w:val="single" w:color="000000" w:sz="4" w:space="0"/>
            </w:tcBorders>
            <w:noWrap w:val="0"/>
            <w:vAlign w:val="center"/>
          </w:tcPr>
          <w:p w14:paraId="01E867C4">
            <w:pPr>
              <w:widowControl/>
              <w:jc w:val="center"/>
              <w:rPr>
                <w:rFonts w:ascii="宋体" w:hAnsi="宋体" w:cs="宋体"/>
                <w:color w:val="000000"/>
                <w:kern w:val="0"/>
                <w:sz w:val="24"/>
                <w:szCs w:val="24"/>
              </w:rPr>
            </w:pPr>
            <w:r>
              <w:rPr>
                <w:rFonts w:hint="eastAsia" w:ascii="宋体" w:hAnsi="宋体" w:cs="宋体"/>
                <w:color w:val="000000"/>
                <w:kern w:val="0"/>
                <w:sz w:val="24"/>
                <w:szCs w:val="24"/>
              </w:rPr>
              <w:t>年初</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预算数</w:t>
            </w:r>
          </w:p>
        </w:tc>
        <w:tc>
          <w:tcPr>
            <w:tcW w:w="860" w:type="dxa"/>
            <w:tcBorders>
              <w:top w:val="single" w:color="000000" w:sz="4" w:space="0"/>
              <w:left w:val="nil"/>
              <w:bottom w:val="single" w:color="000000" w:sz="4" w:space="0"/>
              <w:right w:val="single" w:color="000000" w:sz="4" w:space="0"/>
            </w:tcBorders>
            <w:noWrap w:val="0"/>
            <w:vAlign w:val="center"/>
          </w:tcPr>
          <w:p w14:paraId="294D2C76">
            <w:pPr>
              <w:widowControl/>
              <w:jc w:val="center"/>
              <w:rPr>
                <w:rFonts w:ascii="宋体" w:hAnsi="宋体" w:cs="宋体"/>
                <w:color w:val="000000"/>
                <w:kern w:val="0"/>
                <w:sz w:val="24"/>
                <w:szCs w:val="24"/>
              </w:rPr>
            </w:pPr>
            <w:r>
              <w:rPr>
                <w:rFonts w:hint="eastAsia" w:ascii="宋体" w:hAnsi="宋体" w:cs="宋体"/>
                <w:color w:val="000000"/>
                <w:kern w:val="0"/>
                <w:sz w:val="24"/>
                <w:szCs w:val="24"/>
              </w:rPr>
              <w:t>全年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预算数</w:t>
            </w:r>
          </w:p>
        </w:tc>
        <w:tc>
          <w:tcPr>
            <w:tcW w:w="768" w:type="dxa"/>
            <w:tcBorders>
              <w:top w:val="single" w:color="000000" w:sz="4" w:space="0"/>
              <w:left w:val="nil"/>
              <w:bottom w:val="single" w:color="000000" w:sz="4" w:space="0"/>
              <w:right w:val="single" w:color="000000" w:sz="4" w:space="0"/>
            </w:tcBorders>
            <w:noWrap w:val="0"/>
            <w:vAlign w:val="center"/>
          </w:tcPr>
          <w:p w14:paraId="2859E876">
            <w:pPr>
              <w:widowControl/>
              <w:jc w:val="center"/>
              <w:rPr>
                <w:rFonts w:ascii="宋体" w:hAnsi="宋体" w:cs="宋体"/>
                <w:color w:val="000000"/>
                <w:kern w:val="0"/>
                <w:sz w:val="24"/>
                <w:szCs w:val="24"/>
              </w:rPr>
            </w:pPr>
            <w:r>
              <w:rPr>
                <w:rFonts w:hint="eastAsia" w:ascii="宋体" w:hAnsi="宋体" w:cs="宋体"/>
                <w:color w:val="000000"/>
                <w:kern w:val="0"/>
                <w:sz w:val="24"/>
                <w:szCs w:val="24"/>
              </w:rPr>
              <w:t>全年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执行数</w:t>
            </w:r>
          </w:p>
        </w:tc>
        <w:tc>
          <w:tcPr>
            <w:tcW w:w="895" w:type="dxa"/>
            <w:tcBorders>
              <w:top w:val="single" w:color="000000" w:sz="4" w:space="0"/>
              <w:left w:val="nil"/>
              <w:bottom w:val="single" w:color="000000" w:sz="4" w:space="0"/>
              <w:right w:val="single" w:color="000000" w:sz="4" w:space="0"/>
            </w:tcBorders>
            <w:noWrap w:val="0"/>
            <w:vAlign w:val="center"/>
          </w:tcPr>
          <w:p w14:paraId="3FC0FE2D">
            <w:pPr>
              <w:widowControl/>
              <w:jc w:val="center"/>
              <w:rPr>
                <w:rFonts w:ascii="宋体" w:hAnsi="宋体" w:cs="宋体"/>
                <w:color w:val="000000"/>
                <w:kern w:val="0"/>
                <w:sz w:val="24"/>
                <w:szCs w:val="24"/>
              </w:rPr>
            </w:pPr>
            <w:r>
              <w:rPr>
                <w:rFonts w:hint="eastAsia" w:ascii="宋体" w:hAnsi="宋体" w:cs="宋体"/>
                <w:color w:val="000000"/>
                <w:kern w:val="0"/>
                <w:sz w:val="24"/>
                <w:szCs w:val="24"/>
              </w:rPr>
              <w:t>分值</w:t>
            </w:r>
          </w:p>
        </w:tc>
        <w:tc>
          <w:tcPr>
            <w:tcW w:w="689" w:type="dxa"/>
            <w:tcBorders>
              <w:top w:val="single" w:color="000000" w:sz="4" w:space="0"/>
              <w:left w:val="nil"/>
              <w:bottom w:val="single" w:color="000000" w:sz="4" w:space="0"/>
              <w:right w:val="single" w:color="000000" w:sz="4" w:space="0"/>
            </w:tcBorders>
            <w:noWrap w:val="0"/>
            <w:vAlign w:val="center"/>
          </w:tcPr>
          <w:p w14:paraId="512D81AB">
            <w:pPr>
              <w:widowControl/>
              <w:jc w:val="center"/>
              <w:rPr>
                <w:rFonts w:ascii="宋体" w:hAnsi="宋体" w:cs="宋体"/>
                <w:color w:val="000000"/>
                <w:kern w:val="0"/>
                <w:sz w:val="24"/>
                <w:szCs w:val="24"/>
              </w:rPr>
            </w:pPr>
            <w:r>
              <w:rPr>
                <w:rFonts w:hint="eastAsia" w:ascii="宋体" w:hAnsi="宋体" w:cs="宋体"/>
                <w:color w:val="000000"/>
                <w:kern w:val="0"/>
                <w:sz w:val="24"/>
                <w:szCs w:val="24"/>
              </w:rPr>
              <w:t>执行率</w:t>
            </w:r>
          </w:p>
        </w:tc>
        <w:tc>
          <w:tcPr>
            <w:tcW w:w="1109" w:type="dxa"/>
            <w:tcBorders>
              <w:top w:val="nil"/>
              <w:left w:val="nil"/>
              <w:bottom w:val="single" w:color="000000" w:sz="4" w:space="0"/>
              <w:right w:val="single" w:color="000000" w:sz="4" w:space="0"/>
            </w:tcBorders>
            <w:noWrap w:val="0"/>
            <w:vAlign w:val="center"/>
          </w:tcPr>
          <w:p w14:paraId="37D826D5">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8902838">
        <w:tblPrEx>
          <w:tblCellMar>
            <w:top w:w="0" w:type="dxa"/>
            <w:left w:w="108" w:type="dxa"/>
            <w:bottom w:w="0" w:type="dxa"/>
            <w:right w:w="108" w:type="dxa"/>
          </w:tblCellMar>
        </w:tblPrEx>
        <w:trPr>
          <w:gridAfter w:val="1"/>
          <w:wAfter w:w="536" w:type="dxa"/>
          <w:trHeight w:val="285" w:hRule="atLeast"/>
        </w:trPr>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5A38E9AC">
            <w:pPr>
              <w:widowControl/>
              <w:rPr>
                <w:rFonts w:ascii="宋体" w:hAnsi="宋体" w:cs="宋体"/>
                <w:color w:val="000000"/>
                <w:kern w:val="0"/>
                <w:sz w:val="24"/>
                <w:szCs w:val="24"/>
              </w:rPr>
            </w:pPr>
            <w:r>
              <w:rPr>
                <w:rFonts w:hint="eastAsia" w:ascii="宋体" w:hAnsi="宋体" w:cs="宋体"/>
                <w:color w:val="000000"/>
                <w:kern w:val="0"/>
                <w:sz w:val="24"/>
                <w:szCs w:val="24"/>
              </w:rPr>
              <w:t>年度资金总额（万元）</w:t>
            </w:r>
          </w:p>
        </w:tc>
        <w:tc>
          <w:tcPr>
            <w:tcW w:w="2033" w:type="dxa"/>
            <w:tcBorders>
              <w:top w:val="nil"/>
              <w:left w:val="nil"/>
              <w:bottom w:val="single" w:color="000000" w:sz="4" w:space="0"/>
              <w:right w:val="single" w:color="000000" w:sz="4" w:space="0"/>
            </w:tcBorders>
            <w:noWrap w:val="0"/>
            <w:vAlign w:val="center"/>
          </w:tcPr>
          <w:p w14:paraId="16364878">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860" w:type="dxa"/>
            <w:tcBorders>
              <w:top w:val="single" w:color="000000" w:sz="4" w:space="0"/>
              <w:left w:val="nil"/>
              <w:bottom w:val="single" w:color="000000" w:sz="4" w:space="0"/>
              <w:right w:val="single" w:color="000000" w:sz="4" w:space="0"/>
            </w:tcBorders>
            <w:noWrap w:val="0"/>
            <w:vAlign w:val="center"/>
          </w:tcPr>
          <w:p w14:paraId="78F46A57">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768" w:type="dxa"/>
            <w:tcBorders>
              <w:top w:val="single" w:color="000000" w:sz="4" w:space="0"/>
              <w:left w:val="nil"/>
              <w:bottom w:val="single" w:color="000000" w:sz="4" w:space="0"/>
              <w:right w:val="single" w:color="000000" w:sz="4" w:space="0"/>
            </w:tcBorders>
            <w:noWrap w:val="0"/>
            <w:vAlign w:val="center"/>
          </w:tcPr>
          <w:p w14:paraId="08240C8A">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B09D816">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689" w:type="dxa"/>
            <w:tcBorders>
              <w:top w:val="single" w:color="000000" w:sz="4" w:space="0"/>
              <w:left w:val="nil"/>
              <w:bottom w:val="single" w:color="000000" w:sz="4" w:space="0"/>
              <w:right w:val="single" w:color="000000" w:sz="4" w:space="0"/>
            </w:tcBorders>
            <w:noWrap w:val="0"/>
            <w:vAlign w:val="center"/>
          </w:tcPr>
          <w:p w14:paraId="33788D04">
            <w:pPr>
              <w:widowControl/>
              <w:tabs>
                <w:tab w:val="left" w:pos="342"/>
                <w:tab w:val="center" w:pos="568"/>
              </w:tabs>
              <w:jc w:val="left"/>
              <w:rPr>
                <w:rFonts w:ascii="宋体" w:hAnsi="宋体" w:cs="宋体"/>
                <w:color w:val="000000"/>
                <w:kern w:val="0"/>
                <w:sz w:val="24"/>
                <w:szCs w:val="24"/>
              </w:rPr>
            </w:pPr>
            <w:r>
              <w:rPr>
                <w:rFonts w:hint="eastAsia" w:ascii="宋体" w:hAnsi="宋体" w:cs="宋体"/>
                <w:color w:val="000000"/>
                <w:kern w:val="0"/>
                <w:sz w:val="24"/>
                <w:szCs w:val="24"/>
                <w:lang w:eastAsia="zh-CN"/>
              </w:rPr>
              <w:tab/>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lang w:eastAsia="zh-CN"/>
              </w:rPr>
              <w:tab/>
            </w:r>
            <w:r>
              <w:rPr>
                <w:rFonts w:hint="eastAsia" w:ascii="宋体" w:hAnsi="宋体" w:cs="宋体"/>
                <w:color w:val="000000"/>
                <w:kern w:val="0"/>
                <w:sz w:val="24"/>
                <w:szCs w:val="24"/>
              </w:rPr>
              <w:t>　</w:t>
            </w:r>
          </w:p>
        </w:tc>
        <w:tc>
          <w:tcPr>
            <w:tcW w:w="1109" w:type="dxa"/>
            <w:tcBorders>
              <w:top w:val="nil"/>
              <w:left w:val="nil"/>
              <w:bottom w:val="single" w:color="000000" w:sz="4" w:space="0"/>
              <w:right w:val="single" w:color="000000" w:sz="4" w:space="0"/>
            </w:tcBorders>
            <w:noWrap w:val="0"/>
            <w:vAlign w:val="center"/>
          </w:tcPr>
          <w:p w14:paraId="1FA7925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B4F28C8">
        <w:tblPrEx>
          <w:tblCellMar>
            <w:top w:w="0" w:type="dxa"/>
            <w:left w:w="108" w:type="dxa"/>
            <w:bottom w:w="0" w:type="dxa"/>
            <w:right w:w="108" w:type="dxa"/>
          </w:tblCellMar>
        </w:tblPrEx>
        <w:trPr>
          <w:gridAfter w:val="1"/>
          <w:wAfter w:w="536" w:type="dxa"/>
          <w:trHeight w:val="285" w:hRule="atLeast"/>
        </w:trPr>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210E05EE">
            <w:pPr>
              <w:widowControl/>
              <w:jc w:val="left"/>
              <w:rPr>
                <w:rFonts w:ascii="宋体" w:hAnsi="宋体" w:cs="宋体"/>
                <w:color w:val="000000"/>
                <w:kern w:val="0"/>
                <w:sz w:val="24"/>
                <w:szCs w:val="24"/>
              </w:rPr>
            </w:pPr>
            <w:r>
              <w:rPr>
                <w:rFonts w:ascii="等线" w:hAnsi="等线" w:cs="宋体"/>
                <w:color w:val="000000"/>
                <w:kern w:val="0"/>
                <w:sz w:val="24"/>
                <w:szCs w:val="24"/>
              </w:rPr>
              <w:t>　</w:t>
            </w:r>
            <w:r>
              <w:rPr>
                <w:rFonts w:hint="eastAsia" w:ascii="宋体" w:hAnsi="宋体" w:cs="宋体"/>
                <w:color w:val="000000"/>
                <w:kern w:val="0"/>
                <w:sz w:val="24"/>
                <w:szCs w:val="24"/>
              </w:rPr>
              <w:t>其中：</w:t>
            </w:r>
          </w:p>
          <w:p w14:paraId="7E600D62">
            <w:pPr>
              <w:widowControl/>
              <w:ind w:firstLine="440"/>
              <w:jc w:val="left"/>
              <w:rPr>
                <w:rFonts w:ascii="宋体" w:hAnsi="宋体" w:cs="宋体"/>
                <w:color w:val="000000"/>
                <w:kern w:val="0"/>
                <w:sz w:val="24"/>
                <w:szCs w:val="24"/>
              </w:rPr>
            </w:pPr>
            <w:r>
              <w:rPr>
                <w:rFonts w:hint="eastAsia" w:ascii="宋体" w:hAnsi="宋体" w:cs="宋体"/>
                <w:color w:val="000000"/>
                <w:kern w:val="0"/>
                <w:sz w:val="24"/>
                <w:szCs w:val="24"/>
              </w:rPr>
              <w:t>当年财政拨款</w:t>
            </w:r>
          </w:p>
        </w:tc>
        <w:tc>
          <w:tcPr>
            <w:tcW w:w="2033" w:type="dxa"/>
            <w:tcBorders>
              <w:top w:val="nil"/>
              <w:left w:val="nil"/>
              <w:bottom w:val="single" w:color="000000" w:sz="4" w:space="0"/>
              <w:right w:val="single" w:color="000000" w:sz="4" w:space="0"/>
            </w:tcBorders>
            <w:noWrap w:val="0"/>
            <w:vAlign w:val="center"/>
          </w:tcPr>
          <w:p w14:paraId="2A770375">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860" w:type="dxa"/>
            <w:tcBorders>
              <w:top w:val="single" w:color="000000" w:sz="4" w:space="0"/>
              <w:left w:val="nil"/>
              <w:bottom w:val="single" w:color="000000" w:sz="4" w:space="0"/>
              <w:right w:val="single" w:color="000000" w:sz="4" w:space="0"/>
            </w:tcBorders>
            <w:noWrap w:val="0"/>
            <w:vAlign w:val="center"/>
          </w:tcPr>
          <w:p w14:paraId="1A10AED7">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768" w:type="dxa"/>
            <w:tcBorders>
              <w:top w:val="single" w:color="000000" w:sz="4" w:space="0"/>
              <w:left w:val="nil"/>
              <w:bottom w:val="single" w:color="000000" w:sz="4" w:space="0"/>
              <w:right w:val="single" w:color="000000" w:sz="4" w:space="0"/>
            </w:tcBorders>
            <w:noWrap w:val="0"/>
            <w:vAlign w:val="center"/>
          </w:tcPr>
          <w:p w14:paraId="1129FBB7">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38DA0F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89" w:type="dxa"/>
            <w:tcBorders>
              <w:top w:val="single" w:color="000000" w:sz="4" w:space="0"/>
              <w:left w:val="nil"/>
              <w:bottom w:val="single" w:color="000000" w:sz="4" w:space="0"/>
              <w:right w:val="single" w:color="000000" w:sz="4" w:space="0"/>
            </w:tcBorders>
            <w:noWrap w:val="0"/>
            <w:vAlign w:val="center"/>
          </w:tcPr>
          <w:p w14:paraId="07A53BF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nil"/>
              <w:left w:val="nil"/>
              <w:bottom w:val="single" w:color="000000" w:sz="4" w:space="0"/>
              <w:right w:val="single" w:color="000000" w:sz="4" w:space="0"/>
            </w:tcBorders>
            <w:noWrap w:val="0"/>
            <w:vAlign w:val="center"/>
          </w:tcPr>
          <w:p w14:paraId="4B3A461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14:paraId="14535966">
        <w:tblPrEx>
          <w:tblCellMar>
            <w:top w:w="0" w:type="dxa"/>
            <w:left w:w="108" w:type="dxa"/>
            <w:bottom w:w="0" w:type="dxa"/>
            <w:right w:w="108" w:type="dxa"/>
          </w:tblCellMar>
        </w:tblPrEx>
        <w:trPr>
          <w:gridAfter w:val="1"/>
          <w:wAfter w:w="536" w:type="dxa"/>
          <w:trHeight w:val="285" w:hRule="atLeast"/>
        </w:trPr>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2DB1C386">
            <w:pPr>
              <w:widowControl/>
              <w:jc w:val="left"/>
              <w:rPr>
                <w:rFonts w:ascii="宋体" w:hAnsi="宋体" w:cs="宋体"/>
                <w:color w:val="000000"/>
                <w:kern w:val="0"/>
                <w:sz w:val="24"/>
                <w:szCs w:val="24"/>
              </w:rPr>
            </w:pPr>
            <w:r>
              <w:rPr>
                <w:rFonts w:ascii="等线" w:hAnsi="等线" w:cs="宋体"/>
                <w:color w:val="000000"/>
                <w:kern w:val="0"/>
                <w:sz w:val="24"/>
                <w:szCs w:val="24"/>
              </w:rPr>
              <w:t>　</w:t>
            </w:r>
            <w:r>
              <w:rPr>
                <w:rFonts w:hint="eastAsia" w:ascii="宋体" w:hAnsi="宋体" w:cs="宋体"/>
                <w:color w:val="000000"/>
                <w:kern w:val="0"/>
                <w:sz w:val="24"/>
                <w:szCs w:val="24"/>
              </w:rPr>
              <w:t xml:space="preserve">  上年结转资金</w:t>
            </w:r>
          </w:p>
        </w:tc>
        <w:tc>
          <w:tcPr>
            <w:tcW w:w="2033" w:type="dxa"/>
            <w:tcBorders>
              <w:top w:val="nil"/>
              <w:left w:val="nil"/>
              <w:bottom w:val="single" w:color="000000" w:sz="4" w:space="0"/>
              <w:right w:val="single" w:color="000000" w:sz="4" w:space="0"/>
            </w:tcBorders>
            <w:noWrap w:val="0"/>
            <w:vAlign w:val="center"/>
          </w:tcPr>
          <w:p w14:paraId="31678FDB">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860" w:type="dxa"/>
            <w:tcBorders>
              <w:top w:val="single" w:color="000000" w:sz="4" w:space="0"/>
              <w:left w:val="nil"/>
              <w:bottom w:val="single" w:color="000000" w:sz="4" w:space="0"/>
              <w:right w:val="single" w:color="000000" w:sz="4" w:space="0"/>
            </w:tcBorders>
            <w:noWrap w:val="0"/>
            <w:vAlign w:val="center"/>
          </w:tcPr>
          <w:p w14:paraId="52E8D295">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768" w:type="dxa"/>
            <w:tcBorders>
              <w:top w:val="single" w:color="000000" w:sz="4" w:space="0"/>
              <w:left w:val="nil"/>
              <w:bottom w:val="single" w:color="000000" w:sz="4" w:space="0"/>
              <w:right w:val="single" w:color="000000" w:sz="4" w:space="0"/>
            </w:tcBorders>
            <w:noWrap w:val="0"/>
            <w:vAlign w:val="center"/>
          </w:tcPr>
          <w:p w14:paraId="782895E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3CF3852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89" w:type="dxa"/>
            <w:tcBorders>
              <w:top w:val="single" w:color="000000" w:sz="4" w:space="0"/>
              <w:left w:val="nil"/>
              <w:bottom w:val="single" w:color="000000" w:sz="4" w:space="0"/>
              <w:right w:val="single" w:color="000000" w:sz="4" w:space="0"/>
            </w:tcBorders>
            <w:noWrap w:val="0"/>
            <w:vAlign w:val="center"/>
          </w:tcPr>
          <w:p w14:paraId="31EA2C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nil"/>
              <w:left w:val="nil"/>
              <w:bottom w:val="single" w:color="000000" w:sz="4" w:space="0"/>
              <w:right w:val="single" w:color="000000" w:sz="4" w:space="0"/>
            </w:tcBorders>
            <w:noWrap w:val="0"/>
            <w:vAlign w:val="center"/>
          </w:tcPr>
          <w:p w14:paraId="4B37895C">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14:paraId="6A924E08">
        <w:tblPrEx>
          <w:tblCellMar>
            <w:top w:w="0" w:type="dxa"/>
            <w:left w:w="108" w:type="dxa"/>
            <w:bottom w:w="0" w:type="dxa"/>
            <w:right w:w="108" w:type="dxa"/>
          </w:tblCellMar>
        </w:tblPrEx>
        <w:trPr>
          <w:gridAfter w:val="1"/>
          <w:wAfter w:w="536" w:type="dxa"/>
          <w:trHeight w:val="285" w:hRule="atLeast"/>
        </w:trPr>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27FD86CC">
            <w:pPr>
              <w:widowControl/>
              <w:jc w:val="left"/>
              <w:rPr>
                <w:rFonts w:ascii="宋体" w:hAnsi="宋体" w:cs="宋体"/>
                <w:color w:val="000000"/>
                <w:kern w:val="0"/>
                <w:sz w:val="24"/>
                <w:szCs w:val="24"/>
              </w:rPr>
            </w:pPr>
            <w:r>
              <w:rPr>
                <w:rFonts w:ascii="等线" w:hAnsi="等线" w:cs="宋体"/>
                <w:color w:val="000000"/>
                <w:kern w:val="0"/>
                <w:sz w:val="24"/>
                <w:szCs w:val="24"/>
              </w:rPr>
              <w:t xml:space="preserve">　  </w:t>
            </w:r>
            <w:r>
              <w:rPr>
                <w:rFonts w:hint="eastAsia" w:ascii="宋体" w:hAnsi="宋体" w:cs="宋体"/>
                <w:color w:val="000000"/>
                <w:kern w:val="0"/>
                <w:sz w:val="24"/>
                <w:szCs w:val="24"/>
              </w:rPr>
              <w:t>其他资金</w:t>
            </w:r>
          </w:p>
        </w:tc>
        <w:tc>
          <w:tcPr>
            <w:tcW w:w="2033" w:type="dxa"/>
            <w:tcBorders>
              <w:top w:val="nil"/>
              <w:left w:val="nil"/>
              <w:bottom w:val="single" w:color="000000" w:sz="4" w:space="0"/>
              <w:right w:val="single" w:color="000000" w:sz="4" w:space="0"/>
            </w:tcBorders>
            <w:noWrap w:val="0"/>
            <w:vAlign w:val="center"/>
          </w:tcPr>
          <w:p w14:paraId="62D1894B">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860" w:type="dxa"/>
            <w:tcBorders>
              <w:top w:val="single" w:color="000000" w:sz="4" w:space="0"/>
              <w:left w:val="nil"/>
              <w:bottom w:val="single" w:color="000000" w:sz="4" w:space="0"/>
              <w:right w:val="single" w:color="000000" w:sz="4" w:space="0"/>
            </w:tcBorders>
            <w:noWrap w:val="0"/>
            <w:vAlign w:val="center"/>
          </w:tcPr>
          <w:p w14:paraId="07487D77">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768" w:type="dxa"/>
            <w:tcBorders>
              <w:top w:val="single" w:color="000000" w:sz="4" w:space="0"/>
              <w:left w:val="nil"/>
              <w:bottom w:val="single" w:color="000000" w:sz="4" w:space="0"/>
              <w:right w:val="single" w:color="000000" w:sz="4" w:space="0"/>
            </w:tcBorders>
            <w:noWrap w:val="0"/>
            <w:vAlign w:val="center"/>
          </w:tcPr>
          <w:p w14:paraId="5AE28AF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6E4B85F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89" w:type="dxa"/>
            <w:tcBorders>
              <w:top w:val="single" w:color="000000" w:sz="4" w:space="0"/>
              <w:left w:val="nil"/>
              <w:bottom w:val="single" w:color="000000" w:sz="4" w:space="0"/>
              <w:right w:val="single" w:color="000000" w:sz="4" w:space="0"/>
            </w:tcBorders>
            <w:noWrap w:val="0"/>
            <w:vAlign w:val="center"/>
          </w:tcPr>
          <w:p w14:paraId="49DB58C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nil"/>
              <w:left w:val="nil"/>
              <w:bottom w:val="single" w:color="000000" w:sz="4" w:space="0"/>
              <w:right w:val="single" w:color="000000" w:sz="4" w:space="0"/>
            </w:tcBorders>
            <w:noWrap w:val="0"/>
            <w:vAlign w:val="center"/>
          </w:tcPr>
          <w:p w14:paraId="7B40EA4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14:paraId="40882F28">
        <w:tblPrEx>
          <w:tblCellMar>
            <w:top w:w="0" w:type="dxa"/>
            <w:left w:w="108" w:type="dxa"/>
            <w:bottom w:w="0" w:type="dxa"/>
            <w:right w:w="108" w:type="dxa"/>
          </w:tblCellMar>
        </w:tblPrEx>
        <w:trPr>
          <w:gridAfter w:val="1"/>
          <w:wAfter w:w="536" w:type="dxa"/>
          <w:trHeight w:val="169" w:hRule="atLeast"/>
        </w:trPr>
        <w:tc>
          <w:tcPr>
            <w:tcW w:w="437" w:type="dxa"/>
            <w:vMerge w:val="restart"/>
            <w:tcBorders>
              <w:top w:val="nil"/>
              <w:left w:val="single" w:color="000000" w:sz="4" w:space="0"/>
              <w:bottom w:val="single" w:color="000000" w:sz="4" w:space="0"/>
              <w:right w:val="single" w:color="000000" w:sz="4" w:space="0"/>
            </w:tcBorders>
            <w:noWrap w:val="0"/>
            <w:vAlign w:val="center"/>
          </w:tcPr>
          <w:p w14:paraId="0B15AF16">
            <w:pPr>
              <w:widowControl/>
              <w:jc w:val="center"/>
              <w:rPr>
                <w:rFonts w:ascii="宋体" w:hAnsi="宋体" w:cs="宋体"/>
                <w:color w:val="000000"/>
                <w:kern w:val="0"/>
                <w:sz w:val="24"/>
                <w:szCs w:val="24"/>
              </w:rPr>
            </w:pPr>
            <w:r>
              <w:rPr>
                <w:rFonts w:hint="eastAsia" w:ascii="宋体" w:hAnsi="宋体" w:cs="宋体"/>
                <w:color w:val="000000"/>
                <w:kern w:val="0"/>
                <w:sz w:val="24"/>
                <w:szCs w:val="24"/>
              </w:rPr>
              <w:t>年度</w:t>
            </w:r>
          </w:p>
          <w:p w14:paraId="4C7E3EAA">
            <w:pPr>
              <w:widowControl/>
              <w:jc w:val="center"/>
              <w:rPr>
                <w:rFonts w:ascii="宋体" w:hAnsi="宋体" w:cs="宋体"/>
                <w:color w:val="000000"/>
                <w:kern w:val="0"/>
                <w:sz w:val="24"/>
                <w:szCs w:val="24"/>
              </w:rPr>
            </w:pPr>
            <w:r>
              <w:rPr>
                <w:rFonts w:hint="eastAsia" w:ascii="宋体" w:hAnsi="宋体" w:cs="宋体"/>
                <w:color w:val="000000"/>
                <w:kern w:val="0"/>
                <w:sz w:val="24"/>
                <w:szCs w:val="24"/>
              </w:rPr>
              <w:t>总体目标</w:t>
            </w:r>
          </w:p>
        </w:tc>
        <w:tc>
          <w:tcPr>
            <w:tcW w:w="4724" w:type="dxa"/>
            <w:gridSpan w:val="4"/>
            <w:tcBorders>
              <w:top w:val="single" w:color="000000" w:sz="4" w:space="0"/>
              <w:left w:val="nil"/>
              <w:bottom w:val="single" w:color="000000" w:sz="4" w:space="0"/>
              <w:right w:val="single" w:color="000000" w:sz="4" w:space="0"/>
            </w:tcBorders>
            <w:noWrap w:val="0"/>
            <w:vAlign w:val="center"/>
          </w:tcPr>
          <w:p w14:paraId="360567DE">
            <w:pPr>
              <w:widowControl/>
              <w:jc w:val="center"/>
              <w:rPr>
                <w:rFonts w:ascii="宋体" w:hAnsi="宋体" w:cs="宋体"/>
                <w:color w:val="000000"/>
                <w:kern w:val="0"/>
                <w:sz w:val="24"/>
                <w:szCs w:val="24"/>
              </w:rPr>
            </w:pPr>
            <w:r>
              <w:rPr>
                <w:rFonts w:hint="eastAsia" w:ascii="宋体" w:hAnsi="宋体" w:cs="宋体"/>
                <w:color w:val="000000"/>
                <w:kern w:val="0"/>
                <w:sz w:val="24"/>
                <w:szCs w:val="24"/>
              </w:rPr>
              <w:t>预期目标</w:t>
            </w:r>
          </w:p>
        </w:tc>
        <w:tc>
          <w:tcPr>
            <w:tcW w:w="3461" w:type="dxa"/>
            <w:gridSpan w:val="4"/>
            <w:tcBorders>
              <w:top w:val="single" w:color="000000" w:sz="4" w:space="0"/>
              <w:left w:val="nil"/>
              <w:bottom w:val="single" w:color="000000" w:sz="4" w:space="0"/>
              <w:right w:val="single" w:color="000000" w:sz="4" w:space="0"/>
            </w:tcBorders>
            <w:noWrap w:val="0"/>
            <w:vAlign w:val="center"/>
          </w:tcPr>
          <w:p w14:paraId="52BF745E">
            <w:pPr>
              <w:widowControl/>
              <w:jc w:val="center"/>
              <w:rPr>
                <w:rFonts w:ascii="宋体" w:hAnsi="宋体" w:cs="宋体"/>
                <w:color w:val="000000"/>
                <w:kern w:val="0"/>
                <w:sz w:val="24"/>
                <w:szCs w:val="24"/>
              </w:rPr>
            </w:pPr>
            <w:r>
              <w:rPr>
                <w:rFonts w:hint="eastAsia" w:ascii="宋体" w:hAnsi="宋体" w:cs="宋体"/>
                <w:color w:val="000000"/>
                <w:kern w:val="0"/>
                <w:sz w:val="24"/>
                <w:szCs w:val="24"/>
              </w:rPr>
              <w:t>实际完成情况</w:t>
            </w:r>
          </w:p>
        </w:tc>
      </w:tr>
      <w:tr w14:paraId="785AD1E6">
        <w:tblPrEx>
          <w:tblCellMar>
            <w:top w:w="0" w:type="dxa"/>
            <w:left w:w="108" w:type="dxa"/>
            <w:bottom w:w="0" w:type="dxa"/>
            <w:right w:w="108" w:type="dxa"/>
          </w:tblCellMar>
        </w:tblPrEx>
        <w:trPr>
          <w:gridAfter w:val="1"/>
          <w:wAfter w:w="536" w:type="dxa"/>
          <w:trHeight w:val="148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14:paraId="4E8BF936">
            <w:pPr>
              <w:widowControl/>
              <w:jc w:val="left"/>
              <w:rPr>
                <w:rFonts w:ascii="宋体" w:hAnsi="宋体" w:cs="宋体"/>
                <w:color w:val="000000"/>
                <w:kern w:val="0"/>
                <w:sz w:val="24"/>
                <w:szCs w:val="24"/>
              </w:rPr>
            </w:pPr>
          </w:p>
        </w:tc>
        <w:tc>
          <w:tcPr>
            <w:tcW w:w="4724" w:type="dxa"/>
            <w:gridSpan w:val="4"/>
            <w:tcBorders>
              <w:top w:val="single" w:color="000000" w:sz="4" w:space="0"/>
              <w:left w:val="nil"/>
              <w:bottom w:val="single" w:color="000000" w:sz="4" w:space="0"/>
              <w:right w:val="single" w:color="000000" w:sz="4" w:space="0"/>
            </w:tcBorders>
            <w:noWrap w:val="0"/>
            <w:vAlign w:val="center"/>
          </w:tcPr>
          <w:p w14:paraId="5C796D91">
            <w:pPr>
              <w:widowControl/>
              <w:numPr>
                <w:ilvl w:val="0"/>
                <w:numId w:val="5"/>
              </w:num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组织社区居民开展科普课堂活动，掌握科普知识，提高科学素养。</w:t>
            </w:r>
          </w:p>
          <w:p w14:paraId="00502BA3">
            <w:pPr>
              <w:widowControl/>
              <w:numPr>
                <w:ilvl w:val="0"/>
                <w:numId w:val="5"/>
              </w:numPr>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让居民通过学习，掌握科学养生的技巧，并广泛传播科学精神。</w:t>
            </w:r>
          </w:p>
        </w:tc>
        <w:tc>
          <w:tcPr>
            <w:tcW w:w="3461" w:type="dxa"/>
            <w:gridSpan w:val="4"/>
            <w:tcBorders>
              <w:top w:val="single" w:color="000000" w:sz="4" w:space="0"/>
              <w:left w:val="nil"/>
              <w:bottom w:val="single" w:color="000000" w:sz="4" w:space="0"/>
              <w:right w:val="single" w:color="000000" w:sz="4" w:space="0"/>
            </w:tcBorders>
            <w:noWrap w:val="0"/>
            <w:vAlign w:val="center"/>
          </w:tcPr>
          <w:p w14:paraId="7AC8DEFF">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已按计划全部完成。</w:t>
            </w:r>
            <w:r>
              <w:rPr>
                <w:rFonts w:hint="eastAsia" w:ascii="宋体" w:hAnsi="宋体" w:cs="宋体"/>
                <w:color w:val="000000"/>
                <w:kern w:val="0"/>
                <w:sz w:val="24"/>
                <w:szCs w:val="24"/>
              </w:rPr>
              <w:t>　</w:t>
            </w:r>
          </w:p>
        </w:tc>
      </w:tr>
      <w:tr w14:paraId="1C1BF2C2">
        <w:tblPrEx>
          <w:tblCellMar>
            <w:top w:w="0" w:type="dxa"/>
            <w:left w:w="108" w:type="dxa"/>
            <w:bottom w:w="0" w:type="dxa"/>
            <w:right w:w="108" w:type="dxa"/>
          </w:tblCellMar>
        </w:tblPrEx>
        <w:trPr>
          <w:gridAfter w:val="1"/>
          <w:wAfter w:w="536" w:type="dxa"/>
          <w:trHeight w:val="615" w:hRule="atLeast"/>
        </w:trPr>
        <w:tc>
          <w:tcPr>
            <w:tcW w:w="437" w:type="dxa"/>
            <w:vMerge w:val="restart"/>
            <w:tcBorders>
              <w:top w:val="nil"/>
              <w:left w:val="single" w:color="auto" w:sz="4" w:space="0"/>
              <w:bottom w:val="single" w:color="000000" w:sz="4" w:space="0"/>
              <w:right w:val="single" w:color="000000" w:sz="4" w:space="0"/>
            </w:tcBorders>
            <w:noWrap w:val="0"/>
            <w:vAlign w:val="center"/>
          </w:tcPr>
          <w:p w14:paraId="307EFC6D">
            <w:pPr>
              <w:widowControl/>
              <w:jc w:val="center"/>
              <w:rPr>
                <w:rFonts w:ascii="宋体" w:hAnsi="宋体" w:cs="宋体"/>
                <w:color w:val="000000"/>
                <w:kern w:val="0"/>
                <w:sz w:val="24"/>
                <w:szCs w:val="24"/>
              </w:rPr>
            </w:pPr>
            <w:r>
              <w:rPr>
                <w:rFonts w:hint="eastAsia" w:ascii="宋体" w:hAnsi="宋体" w:cs="宋体"/>
                <w:color w:val="000000"/>
                <w:kern w:val="0"/>
                <w:sz w:val="24"/>
                <w:szCs w:val="24"/>
              </w:rPr>
              <w:t>绩</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标</w:t>
            </w:r>
          </w:p>
        </w:tc>
        <w:tc>
          <w:tcPr>
            <w:tcW w:w="753" w:type="dxa"/>
            <w:vMerge w:val="restart"/>
            <w:tcBorders>
              <w:top w:val="nil"/>
              <w:left w:val="nil"/>
              <w:bottom w:val="single" w:color="000000" w:sz="4" w:space="0"/>
              <w:right w:val="single" w:color="000000" w:sz="4" w:space="0"/>
            </w:tcBorders>
            <w:noWrap w:val="0"/>
            <w:vAlign w:val="center"/>
          </w:tcPr>
          <w:p w14:paraId="08D0EDB5">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078" w:type="dxa"/>
            <w:vMerge w:val="restart"/>
            <w:tcBorders>
              <w:top w:val="nil"/>
              <w:left w:val="nil"/>
              <w:bottom w:val="single" w:color="000000" w:sz="4" w:space="0"/>
              <w:right w:val="single" w:color="000000" w:sz="4" w:space="0"/>
            </w:tcBorders>
            <w:noWrap w:val="0"/>
            <w:vAlign w:val="center"/>
          </w:tcPr>
          <w:p w14:paraId="54639AB5">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w:t>
            </w:r>
          </w:p>
          <w:p w14:paraId="3ADD6D9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vMerge w:val="restart"/>
            <w:tcBorders>
              <w:top w:val="single" w:color="000000" w:sz="4" w:space="0"/>
              <w:left w:val="nil"/>
              <w:bottom w:val="single" w:color="000000" w:sz="4" w:space="0"/>
              <w:right w:val="single" w:color="000000" w:sz="4" w:space="0"/>
            </w:tcBorders>
            <w:noWrap w:val="0"/>
            <w:vAlign w:val="center"/>
          </w:tcPr>
          <w:p w14:paraId="74314C72">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60" w:type="dxa"/>
            <w:vMerge w:val="restart"/>
            <w:tcBorders>
              <w:top w:val="nil"/>
              <w:left w:val="nil"/>
              <w:bottom w:val="single" w:color="000000" w:sz="4" w:space="0"/>
              <w:right w:val="single" w:color="000000" w:sz="4" w:space="0"/>
            </w:tcBorders>
            <w:noWrap w:val="0"/>
            <w:vAlign w:val="center"/>
          </w:tcPr>
          <w:p w14:paraId="004E08AB">
            <w:pPr>
              <w:widowControl/>
              <w:jc w:val="center"/>
              <w:rPr>
                <w:rFonts w:ascii="宋体" w:hAnsi="宋体" w:cs="宋体"/>
                <w:color w:val="000000"/>
                <w:kern w:val="0"/>
                <w:sz w:val="24"/>
                <w:szCs w:val="24"/>
              </w:rPr>
            </w:pPr>
            <w:r>
              <w:rPr>
                <w:rFonts w:hint="eastAsia" w:ascii="宋体" w:hAnsi="宋体" w:cs="宋体"/>
                <w:color w:val="000000"/>
                <w:kern w:val="0"/>
                <w:sz w:val="24"/>
                <w:szCs w:val="24"/>
              </w:rPr>
              <w:t>年度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指标值</w:t>
            </w:r>
          </w:p>
        </w:tc>
        <w:tc>
          <w:tcPr>
            <w:tcW w:w="768" w:type="dxa"/>
            <w:vMerge w:val="restart"/>
            <w:tcBorders>
              <w:top w:val="nil"/>
              <w:left w:val="nil"/>
              <w:bottom w:val="single" w:color="000000" w:sz="4" w:space="0"/>
              <w:right w:val="single" w:color="000000" w:sz="4" w:space="0"/>
            </w:tcBorders>
            <w:noWrap w:val="0"/>
            <w:vAlign w:val="center"/>
          </w:tcPr>
          <w:p w14:paraId="22732B9C">
            <w:pPr>
              <w:widowControl/>
              <w:jc w:val="center"/>
              <w:rPr>
                <w:rFonts w:ascii="宋体" w:hAnsi="宋体" w:cs="宋体"/>
                <w:color w:val="000000"/>
                <w:kern w:val="0"/>
                <w:sz w:val="24"/>
                <w:szCs w:val="24"/>
              </w:rPr>
            </w:pPr>
            <w:r>
              <w:rPr>
                <w:rFonts w:hint="eastAsia" w:ascii="宋体" w:hAnsi="宋体" w:cs="宋体"/>
                <w:color w:val="000000"/>
                <w:kern w:val="0"/>
                <w:sz w:val="24"/>
                <w:szCs w:val="24"/>
              </w:rPr>
              <w:t>实际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完成值</w:t>
            </w:r>
          </w:p>
        </w:tc>
        <w:tc>
          <w:tcPr>
            <w:tcW w:w="895" w:type="dxa"/>
            <w:vMerge w:val="restart"/>
            <w:tcBorders>
              <w:top w:val="single" w:color="000000" w:sz="4" w:space="0"/>
              <w:left w:val="nil"/>
              <w:bottom w:val="single" w:color="000000" w:sz="4" w:space="0"/>
              <w:right w:val="single" w:color="000000" w:sz="4" w:space="0"/>
            </w:tcBorders>
            <w:noWrap w:val="0"/>
            <w:vAlign w:val="center"/>
          </w:tcPr>
          <w:p w14:paraId="38D6F99D">
            <w:pPr>
              <w:widowControl/>
              <w:jc w:val="center"/>
              <w:rPr>
                <w:rFonts w:ascii="宋体" w:hAnsi="宋体" w:cs="宋体"/>
                <w:color w:val="000000"/>
                <w:kern w:val="0"/>
                <w:sz w:val="24"/>
                <w:szCs w:val="24"/>
              </w:rPr>
            </w:pPr>
            <w:r>
              <w:rPr>
                <w:rFonts w:hint="eastAsia" w:ascii="宋体" w:hAnsi="宋体" w:cs="宋体"/>
                <w:color w:val="000000"/>
                <w:kern w:val="0"/>
                <w:sz w:val="24"/>
                <w:szCs w:val="24"/>
              </w:rPr>
              <w:t>分值</w:t>
            </w:r>
          </w:p>
        </w:tc>
        <w:tc>
          <w:tcPr>
            <w:tcW w:w="689" w:type="dxa"/>
            <w:vMerge w:val="restart"/>
            <w:tcBorders>
              <w:top w:val="single" w:color="000000" w:sz="4" w:space="0"/>
              <w:left w:val="nil"/>
              <w:bottom w:val="single" w:color="000000" w:sz="4" w:space="0"/>
              <w:right w:val="single" w:color="000000" w:sz="4" w:space="0"/>
            </w:tcBorders>
            <w:noWrap w:val="0"/>
            <w:vAlign w:val="center"/>
          </w:tcPr>
          <w:p w14:paraId="37C0CEDE">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c>
          <w:tcPr>
            <w:tcW w:w="1109" w:type="dxa"/>
            <w:vMerge w:val="restart"/>
            <w:tcBorders>
              <w:top w:val="single" w:color="000000" w:sz="4" w:space="0"/>
              <w:left w:val="nil"/>
              <w:bottom w:val="single" w:color="000000" w:sz="4" w:space="0"/>
              <w:right w:val="single" w:color="000000" w:sz="4" w:space="0"/>
            </w:tcBorders>
            <w:noWrap w:val="0"/>
            <w:vAlign w:val="center"/>
          </w:tcPr>
          <w:p w14:paraId="71774128">
            <w:pPr>
              <w:widowControl/>
              <w:jc w:val="center"/>
              <w:rPr>
                <w:rFonts w:ascii="宋体" w:hAnsi="宋体" w:cs="宋体"/>
                <w:color w:val="000000"/>
                <w:kern w:val="0"/>
                <w:sz w:val="24"/>
                <w:szCs w:val="24"/>
              </w:rPr>
            </w:pPr>
            <w:r>
              <w:rPr>
                <w:rFonts w:hint="eastAsia" w:ascii="宋体" w:hAnsi="宋体" w:cs="宋体"/>
                <w:color w:val="000000"/>
                <w:kern w:val="0"/>
                <w:sz w:val="24"/>
                <w:szCs w:val="24"/>
              </w:rPr>
              <w:t>偏差原因分析及改进措施</w:t>
            </w:r>
          </w:p>
        </w:tc>
      </w:tr>
      <w:tr w14:paraId="00378A1E">
        <w:tblPrEx>
          <w:tblCellMar>
            <w:top w:w="0" w:type="dxa"/>
            <w:left w:w="108" w:type="dxa"/>
            <w:bottom w:w="0" w:type="dxa"/>
            <w:right w:w="108" w:type="dxa"/>
          </w:tblCellMar>
        </w:tblPrEx>
        <w:trPr>
          <w:trHeight w:val="61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707995B9">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32A9DDDD">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1E00E853">
            <w:pPr>
              <w:widowControl/>
              <w:jc w:val="left"/>
              <w:rPr>
                <w:rFonts w:ascii="宋体" w:hAnsi="宋体" w:cs="宋体"/>
                <w:color w:val="000000"/>
                <w:kern w:val="0"/>
                <w:sz w:val="24"/>
                <w:szCs w:val="24"/>
              </w:rPr>
            </w:pPr>
          </w:p>
        </w:tc>
        <w:tc>
          <w:tcPr>
            <w:tcW w:w="2033" w:type="dxa"/>
            <w:vMerge w:val="continue"/>
            <w:tcBorders>
              <w:top w:val="single" w:color="000000" w:sz="4" w:space="0"/>
              <w:left w:val="nil"/>
              <w:bottom w:val="single" w:color="000000" w:sz="4" w:space="0"/>
              <w:right w:val="single" w:color="000000" w:sz="4" w:space="0"/>
            </w:tcBorders>
            <w:noWrap w:val="0"/>
            <w:vAlign w:val="center"/>
          </w:tcPr>
          <w:p w14:paraId="0D40B54F">
            <w:pPr>
              <w:widowControl/>
              <w:jc w:val="left"/>
              <w:rPr>
                <w:rFonts w:ascii="宋体" w:hAnsi="宋体" w:cs="宋体"/>
                <w:color w:val="000000"/>
                <w:kern w:val="0"/>
                <w:sz w:val="24"/>
                <w:szCs w:val="24"/>
              </w:rPr>
            </w:pPr>
          </w:p>
        </w:tc>
        <w:tc>
          <w:tcPr>
            <w:tcW w:w="860" w:type="dxa"/>
            <w:vMerge w:val="continue"/>
            <w:tcBorders>
              <w:top w:val="nil"/>
              <w:left w:val="nil"/>
              <w:bottom w:val="single" w:color="000000" w:sz="4" w:space="0"/>
              <w:right w:val="single" w:color="000000" w:sz="4" w:space="0"/>
            </w:tcBorders>
            <w:noWrap w:val="0"/>
            <w:vAlign w:val="center"/>
          </w:tcPr>
          <w:p w14:paraId="6F6B70FB">
            <w:pPr>
              <w:widowControl/>
              <w:jc w:val="left"/>
              <w:rPr>
                <w:rFonts w:ascii="宋体" w:hAnsi="宋体" w:cs="宋体"/>
                <w:color w:val="000000"/>
                <w:kern w:val="0"/>
                <w:sz w:val="24"/>
                <w:szCs w:val="24"/>
              </w:rPr>
            </w:pPr>
          </w:p>
        </w:tc>
        <w:tc>
          <w:tcPr>
            <w:tcW w:w="768" w:type="dxa"/>
            <w:vMerge w:val="continue"/>
            <w:tcBorders>
              <w:top w:val="nil"/>
              <w:left w:val="nil"/>
              <w:bottom w:val="single" w:color="000000" w:sz="4" w:space="0"/>
              <w:right w:val="single" w:color="000000" w:sz="4" w:space="0"/>
            </w:tcBorders>
            <w:noWrap w:val="0"/>
            <w:vAlign w:val="center"/>
          </w:tcPr>
          <w:p w14:paraId="2B7030BB">
            <w:pPr>
              <w:widowControl/>
              <w:jc w:val="left"/>
              <w:rPr>
                <w:rFonts w:ascii="宋体" w:hAnsi="宋体" w:cs="宋体"/>
                <w:color w:val="000000"/>
                <w:kern w:val="0"/>
                <w:sz w:val="24"/>
                <w:szCs w:val="24"/>
              </w:rPr>
            </w:pPr>
          </w:p>
        </w:tc>
        <w:tc>
          <w:tcPr>
            <w:tcW w:w="895" w:type="dxa"/>
            <w:vMerge w:val="continue"/>
            <w:tcBorders>
              <w:top w:val="single" w:color="000000" w:sz="4" w:space="0"/>
              <w:left w:val="nil"/>
              <w:bottom w:val="single" w:color="000000" w:sz="4" w:space="0"/>
              <w:right w:val="single" w:color="000000" w:sz="4" w:space="0"/>
            </w:tcBorders>
            <w:noWrap w:val="0"/>
            <w:vAlign w:val="center"/>
          </w:tcPr>
          <w:p w14:paraId="00E64658">
            <w:pPr>
              <w:widowControl/>
              <w:jc w:val="left"/>
              <w:rPr>
                <w:rFonts w:ascii="宋体" w:hAnsi="宋体" w:cs="宋体"/>
                <w:color w:val="000000"/>
                <w:kern w:val="0"/>
                <w:sz w:val="24"/>
                <w:szCs w:val="24"/>
              </w:rPr>
            </w:pPr>
          </w:p>
        </w:tc>
        <w:tc>
          <w:tcPr>
            <w:tcW w:w="689" w:type="dxa"/>
            <w:vMerge w:val="continue"/>
            <w:tcBorders>
              <w:top w:val="single" w:color="000000" w:sz="4" w:space="0"/>
              <w:left w:val="nil"/>
              <w:bottom w:val="single" w:color="000000" w:sz="4" w:space="0"/>
              <w:right w:val="single" w:color="000000" w:sz="4" w:space="0"/>
            </w:tcBorders>
            <w:noWrap w:val="0"/>
            <w:vAlign w:val="center"/>
          </w:tcPr>
          <w:p w14:paraId="72CCF6AE">
            <w:pPr>
              <w:widowControl/>
              <w:jc w:val="left"/>
              <w:rPr>
                <w:rFonts w:ascii="宋体" w:hAnsi="宋体" w:cs="宋体"/>
                <w:color w:val="000000"/>
                <w:kern w:val="0"/>
                <w:sz w:val="24"/>
                <w:szCs w:val="24"/>
              </w:rPr>
            </w:pPr>
          </w:p>
        </w:tc>
        <w:tc>
          <w:tcPr>
            <w:tcW w:w="1109" w:type="dxa"/>
            <w:vMerge w:val="continue"/>
            <w:tcBorders>
              <w:top w:val="single" w:color="000000" w:sz="4" w:space="0"/>
              <w:left w:val="nil"/>
              <w:bottom w:val="single" w:color="000000" w:sz="4" w:space="0"/>
              <w:right w:val="single" w:color="000000" w:sz="4" w:space="0"/>
            </w:tcBorders>
            <w:noWrap w:val="0"/>
            <w:vAlign w:val="center"/>
          </w:tcPr>
          <w:p w14:paraId="639C0F40">
            <w:pPr>
              <w:widowControl/>
              <w:jc w:val="left"/>
              <w:rPr>
                <w:rFonts w:ascii="宋体" w:hAnsi="宋体" w:cs="宋体"/>
                <w:color w:val="000000"/>
                <w:kern w:val="0"/>
                <w:sz w:val="24"/>
                <w:szCs w:val="24"/>
              </w:rPr>
            </w:pPr>
          </w:p>
        </w:tc>
        <w:tc>
          <w:tcPr>
            <w:tcW w:w="536" w:type="dxa"/>
            <w:tcBorders>
              <w:top w:val="nil"/>
              <w:left w:val="nil"/>
              <w:bottom w:val="nil"/>
              <w:right w:val="nil"/>
            </w:tcBorders>
            <w:noWrap w:val="0"/>
            <w:vAlign w:val="center"/>
          </w:tcPr>
          <w:p w14:paraId="58E76010">
            <w:pPr>
              <w:widowControl/>
              <w:jc w:val="center"/>
              <w:rPr>
                <w:rFonts w:ascii="宋体" w:hAnsi="宋体" w:cs="宋体"/>
                <w:color w:val="000000"/>
                <w:kern w:val="0"/>
                <w:sz w:val="24"/>
                <w:szCs w:val="24"/>
              </w:rPr>
            </w:pPr>
          </w:p>
        </w:tc>
      </w:tr>
      <w:tr w14:paraId="597BE6A1">
        <w:tblPrEx>
          <w:tblCellMar>
            <w:top w:w="0" w:type="dxa"/>
            <w:left w:w="108" w:type="dxa"/>
            <w:bottom w:w="0" w:type="dxa"/>
            <w:right w:w="108" w:type="dxa"/>
          </w:tblCellMar>
        </w:tblPrEx>
        <w:trPr>
          <w:trHeight w:val="28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71F3F5C">
            <w:pPr>
              <w:widowControl/>
              <w:jc w:val="left"/>
              <w:rPr>
                <w:rFonts w:ascii="宋体" w:hAnsi="宋体" w:cs="宋体"/>
                <w:color w:val="000000"/>
                <w:kern w:val="0"/>
                <w:sz w:val="24"/>
                <w:szCs w:val="24"/>
              </w:rPr>
            </w:pPr>
          </w:p>
        </w:tc>
        <w:tc>
          <w:tcPr>
            <w:tcW w:w="753" w:type="dxa"/>
            <w:vMerge w:val="restart"/>
            <w:tcBorders>
              <w:top w:val="nil"/>
              <w:left w:val="nil"/>
              <w:bottom w:val="single" w:color="000000" w:sz="4" w:space="0"/>
              <w:right w:val="single" w:color="000000" w:sz="4" w:space="0"/>
            </w:tcBorders>
            <w:noWrap w:val="0"/>
            <w:vAlign w:val="center"/>
          </w:tcPr>
          <w:p w14:paraId="71BFFAE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078" w:type="dxa"/>
            <w:vMerge w:val="restart"/>
            <w:tcBorders>
              <w:top w:val="nil"/>
              <w:left w:val="nil"/>
              <w:bottom w:val="single" w:color="000000" w:sz="4" w:space="0"/>
              <w:right w:val="single" w:color="000000" w:sz="4" w:space="0"/>
            </w:tcBorders>
            <w:noWrap w:val="0"/>
            <w:vAlign w:val="center"/>
          </w:tcPr>
          <w:p w14:paraId="67AD16DA">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p w14:paraId="44ABFCC4">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05905ABB">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社区科普大学10个教学点每学期开课情况</w:t>
            </w:r>
          </w:p>
        </w:tc>
        <w:tc>
          <w:tcPr>
            <w:tcW w:w="860" w:type="dxa"/>
            <w:tcBorders>
              <w:top w:val="nil"/>
              <w:left w:val="nil"/>
              <w:bottom w:val="single" w:color="000000" w:sz="4" w:space="0"/>
              <w:right w:val="single" w:color="000000" w:sz="4" w:space="0"/>
            </w:tcBorders>
            <w:noWrap w:val="0"/>
            <w:vAlign w:val="center"/>
          </w:tcPr>
          <w:p w14:paraId="1164153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≥200次</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09B832CC">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4BA14B7B">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766DCDB8">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371BE2A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2C1CE8BA">
            <w:pPr>
              <w:widowControl/>
              <w:jc w:val="left"/>
              <w:rPr>
                <w:kern w:val="0"/>
                <w:sz w:val="24"/>
                <w:szCs w:val="24"/>
              </w:rPr>
            </w:pPr>
          </w:p>
        </w:tc>
      </w:tr>
      <w:tr w14:paraId="5F96A45C">
        <w:tblPrEx>
          <w:tblCellMar>
            <w:top w:w="0" w:type="dxa"/>
            <w:left w:w="108" w:type="dxa"/>
            <w:bottom w:w="0" w:type="dxa"/>
            <w:right w:w="108" w:type="dxa"/>
          </w:tblCellMar>
        </w:tblPrEx>
        <w:trPr>
          <w:trHeight w:val="1128"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98BCD08">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4EB1060C">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59F746FF">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22E82A3C">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指标2：</w:t>
            </w:r>
            <w:r>
              <w:rPr>
                <w:rFonts w:hint="eastAsia" w:ascii="宋体" w:hAnsi="宋体" w:cs="宋体"/>
                <w:color w:val="000000"/>
                <w:kern w:val="0"/>
                <w:sz w:val="24"/>
                <w:szCs w:val="24"/>
                <w:lang w:val="en-US" w:eastAsia="zh-CN"/>
              </w:rPr>
              <w:t>开展第二课堂活动</w:t>
            </w:r>
          </w:p>
        </w:tc>
        <w:tc>
          <w:tcPr>
            <w:tcW w:w="860" w:type="dxa"/>
            <w:tcBorders>
              <w:top w:val="nil"/>
              <w:left w:val="nil"/>
              <w:bottom w:val="single" w:color="000000" w:sz="4" w:space="0"/>
              <w:right w:val="single" w:color="000000" w:sz="4" w:space="0"/>
            </w:tcBorders>
            <w:noWrap w:val="0"/>
            <w:vAlign w:val="center"/>
          </w:tcPr>
          <w:p w14:paraId="1FBDA9A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≥3次</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63669BF6">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31F64B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55A34F5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5769E80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83F8E20">
            <w:pPr>
              <w:widowControl/>
              <w:jc w:val="left"/>
              <w:rPr>
                <w:kern w:val="0"/>
                <w:sz w:val="24"/>
                <w:szCs w:val="24"/>
              </w:rPr>
            </w:pPr>
          </w:p>
        </w:tc>
      </w:tr>
      <w:tr w14:paraId="1625CFEF">
        <w:tblPrEx>
          <w:tblCellMar>
            <w:top w:w="0" w:type="dxa"/>
            <w:left w:w="108" w:type="dxa"/>
            <w:bottom w:w="0" w:type="dxa"/>
            <w:right w:w="108" w:type="dxa"/>
          </w:tblCellMar>
        </w:tblPrEx>
        <w:trPr>
          <w:trHeight w:val="554"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5F03C89E">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1E5A11EE">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152A24EA">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0C3BA94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0237A46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5703164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F7F0A8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1B63DC0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4A1BEDA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4CA4C43B">
            <w:pPr>
              <w:widowControl/>
              <w:jc w:val="left"/>
              <w:rPr>
                <w:kern w:val="0"/>
                <w:sz w:val="24"/>
                <w:szCs w:val="24"/>
              </w:rPr>
            </w:pPr>
          </w:p>
        </w:tc>
      </w:tr>
      <w:tr w14:paraId="1AE61C54">
        <w:tblPrEx>
          <w:tblCellMar>
            <w:top w:w="0" w:type="dxa"/>
            <w:left w:w="108" w:type="dxa"/>
            <w:bottom w:w="0" w:type="dxa"/>
            <w:right w:w="108" w:type="dxa"/>
          </w:tblCellMar>
        </w:tblPrEx>
        <w:trPr>
          <w:trHeight w:val="808"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5DC08C1">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50C81175">
            <w:pPr>
              <w:widowControl/>
              <w:jc w:val="left"/>
              <w:rPr>
                <w:rFonts w:ascii="宋体" w:hAnsi="宋体" w:cs="宋体"/>
                <w:color w:val="000000"/>
                <w:kern w:val="0"/>
                <w:sz w:val="24"/>
                <w:szCs w:val="24"/>
              </w:rPr>
            </w:pPr>
          </w:p>
        </w:tc>
        <w:tc>
          <w:tcPr>
            <w:tcW w:w="1078" w:type="dxa"/>
            <w:vMerge w:val="restart"/>
            <w:tcBorders>
              <w:top w:val="nil"/>
              <w:left w:val="nil"/>
              <w:bottom w:val="single" w:color="000000" w:sz="4" w:space="0"/>
              <w:right w:val="single" w:color="000000" w:sz="4" w:space="0"/>
            </w:tcBorders>
            <w:noWrap w:val="0"/>
            <w:vAlign w:val="center"/>
          </w:tcPr>
          <w:p w14:paraId="3170DEAC">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w:t>
            </w:r>
          </w:p>
          <w:p w14:paraId="171A78D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3AAC7785">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学员数量</w:t>
            </w:r>
          </w:p>
        </w:tc>
        <w:tc>
          <w:tcPr>
            <w:tcW w:w="860" w:type="dxa"/>
            <w:tcBorders>
              <w:top w:val="nil"/>
              <w:left w:val="nil"/>
              <w:bottom w:val="single" w:color="000000" w:sz="4" w:space="0"/>
              <w:right w:val="single" w:color="000000" w:sz="4" w:space="0"/>
            </w:tcBorders>
            <w:noWrap w:val="0"/>
            <w:vAlign w:val="center"/>
          </w:tcPr>
          <w:p w14:paraId="5C6C15A7">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5600人次</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0DCF0FBC">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2FC50C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025A690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055DC77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1C61DA3E">
            <w:pPr>
              <w:widowControl/>
              <w:jc w:val="left"/>
              <w:rPr>
                <w:kern w:val="0"/>
                <w:sz w:val="24"/>
                <w:szCs w:val="24"/>
              </w:rPr>
            </w:pPr>
          </w:p>
        </w:tc>
      </w:tr>
      <w:tr w14:paraId="76779596">
        <w:tblPrEx>
          <w:tblCellMar>
            <w:top w:w="0" w:type="dxa"/>
            <w:left w:w="108" w:type="dxa"/>
            <w:bottom w:w="0" w:type="dxa"/>
            <w:right w:w="108" w:type="dxa"/>
          </w:tblCellMar>
        </w:tblPrEx>
        <w:trPr>
          <w:trHeight w:val="28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F59855B">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6C623132">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2C21814F">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40118116">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指标2：</w:t>
            </w:r>
            <w:r>
              <w:rPr>
                <w:rFonts w:hint="eastAsia" w:ascii="宋体" w:hAnsi="宋体" w:cs="宋体"/>
                <w:color w:val="000000"/>
                <w:kern w:val="0"/>
                <w:sz w:val="24"/>
                <w:szCs w:val="24"/>
                <w:lang w:val="en-US" w:eastAsia="zh-CN"/>
              </w:rPr>
              <w:t>向社区居民宣传科学养生等科普知识</w:t>
            </w:r>
          </w:p>
        </w:tc>
        <w:tc>
          <w:tcPr>
            <w:tcW w:w="860" w:type="dxa"/>
            <w:tcBorders>
              <w:top w:val="nil"/>
              <w:left w:val="nil"/>
              <w:bottom w:val="single" w:color="000000" w:sz="4" w:space="0"/>
              <w:right w:val="single" w:color="000000" w:sz="4" w:space="0"/>
            </w:tcBorders>
            <w:noWrap w:val="0"/>
            <w:vAlign w:val="center"/>
          </w:tcPr>
          <w:p w14:paraId="0DE587D0">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效果显著</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1A342728">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7B6FA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4BB115B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664237E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2D598E9F">
            <w:pPr>
              <w:widowControl/>
              <w:jc w:val="left"/>
              <w:rPr>
                <w:kern w:val="0"/>
                <w:sz w:val="24"/>
                <w:szCs w:val="24"/>
              </w:rPr>
            </w:pPr>
          </w:p>
        </w:tc>
      </w:tr>
      <w:tr w14:paraId="16F351A3">
        <w:tblPrEx>
          <w:tblCellMar>
            <w:top w:w="0" w:type="dxa"/>
            <w:left w:w="108" w:type="dxa"/>
            <w:bottom w:w="0" w:type="dxa"/>
            <w:right w:w="108" w:type="dxa"/>
          </w:tblCellMar>
        </w:tblPrEx>
        <w:trPr>
          <w:trHeight w:val="508" w:hRule="atLeast"/>
        </w:trPr>
        <w:tc>
          <w:tcPr>
            <w:tcW w:w="437" w:type="dxa"/>
            <w:vMerge w:val="continue"/>
            <w:tcBorders>
              <w:top w:val="nil"/>
              <w:left w:val="single" w:color="auto" w:sz="4" w:space="0"/>
              <w:bottom w:val="single" w:color="auto" w:sz="4" w:space="0"/>
              <w:right w:val="single" w:color="000000" w:sz="4" w:space="0"/>
            </w:tcBorders>
            <w:noWrap w:val="0"/>
            <w:vAlign w:val="center"/>
          </w:tcPr>
          <w:p w14:paraId="6BE8708C">
            <w:pPr>
              <w:widowControl/>
              <w:jc w:val="left"/>
              <w:rPr>
                <w:rFonts w:ascii="宋体" w:hAnsi="宋体" w:cs="宋体"/>
                <w:color w:val="000000"/>
                <w:kern w:val="0"/>
                <w:sz w:val="24"/>
                <w:szCs w:val="24"/>
              </w:rPr>
            </w:pPr>
          </w:p>
        </w:tc>
        <w:tc>
          <w:tcPr>
            <w:tcW w:w="753" w:type="dxa"/>
            <w:vMerge w:val="continue"/>
            <w:tcBorders>
              <w:top w:val="nil"/>
              <w:left w:val="nil"/>
              <w:bottom w:val="single" w:color="auto" w:sz="4" w:space="0"/>
              <w:right w:val="single" w:color="000000" w:sz="4" w:space="0"/>
            </w:tcBorders>
            <w:noWrap w:val="0"/>
            <w:vAlign w:val="center"/>
          </w:tcPr>
          <w:p w14:paraId="1E95D331">
            <w:pPr>
              <w:widowControl/>
              <w:jc w:val="left"/>
              <w:rPr>
                <w:rFonts w:ascii="宋体" w:hAnsi="宋体" w:cs="宋体"/>
                <w:color w:val="000000"/>
                <w:kern w:val="0"/>
                <w:sz w:val="24"/>
                <w:szCs w:val="24"/>
              </w:rPr>
            </w:pPr>
          </w:p>
        </w:tc>
        <w:tc>
          <w:tcPr>
            <w:tcW w:w="1078" w:type="dxa"/>
            <w:vMerge w:val="continue"/>
            <w:tcBorders>
              <w:top w:val="nil"/>
              <w:left w:val="nil"/>
              <w:bottom w:val="single" w:color="auto" w:sz="4" w:space="0"/>
              <w:right w:val="single" w:color="000000" w:sz="4" w:space="0"/>
            </w:tcBorders>
            <w:noWrap w:val="0"/>
            <w:vAlign w:val="center"/>
          </w:tcPr>
          <w:p w14:paraId="4313359A">
            <w:pPr>
              <w:widowControl/>
              <w:jc w:val="left"/>
              <w:rPr>
                <w:rFonts w:ascii="宋体" w:hAnsi="宋体" w:cs="宋体"/>
                <w:color w:val="000000"/>
                <w:kern w:val="0"/>
                <w:sz w:val="24"/>
                <w:szCs w:val="24"/>
              </w:rPr>
            </w:pPr>
          </w:p>
        </w:tc>
        <w:tc>
          <w:tcPr>
            <w:tcW w:w="2033" w:type="dxa"/>
            <w:tcBorders>
              <w:top w:val="single" w:color="000000" w:sz="4" w:space="0"/>
              <w:left w:val="nil"/>
              <w:bottom w:val="single" w:color="auto" w:sz="4" w:space="0"/>
              <w:right w:val="single" w:color="000000" w:sz="4" w:space="0"/>
            </w:tcBorders>
            <w:noWrap w:val="0"/>
            <w:vAlign w:val="center"/>
          </w:tcPr>
          <w:p w14:paraId="485F3E8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auto" w:sz="4" w:space="0"/>
              <w:right w:val="single" w:color="000000" w:sz="4" w:space="0"/>
            </w:tcBorders>
            <w:noWrap w:val="0"/>
            <w:vAlign w:val="center"/>
          </w:tcPr>
          <w:p w14:paraId="3D08240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auto" w:sz="4" w:space="0"/>
              <w:right w:val="single" w:color="000000" w:sz="4" w:space="0"/>
            </w:tcBorders>
            <w:noWrap w:val="0"/>
            <w:vAlign w:val="center"/>
          </w:tcPr>
          <w:p w14:paraId="4D30FB1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auto" w:sz="4" w:space="0"/>
              <w:right w:val="single" w:color="000000" w:sz="4" w:space="0"/>
            </w:tcBorders>
            <w:noWrap w:val="0"/>
            <w:vAlign w:val="center"/>
          </w:tcPr>
          <w:p w14:paraId="48E03F4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auto" w:sz="4" w:space="0"/>
              <w:right w:val="single" w:color="000000" w:sz="4" w:space="0"/>
            </w:tcBorders>
            <w:noWrap w:val="0"/>
            <w:vAlign w:val="center"/>
          </w:tcPr>
          <w:p w14:paraId="5DD2506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auto" w:sz="4" w:space="0"/>
              <w:right w:val="single" w:color="000000" w:sz="4" w:space="0"/>
            </w:tcBorders>
            <w:noWrap w:val="0"/>
            <w:vAlign w:val="center"/>
          </w:tcPr>
          <w:p w14:paraId="04500AA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tcBorders>
              <w:bottom w:val="nil"/>
            </w:tcBorders>
            <w:noWrap w:val="0"/>
            <w:vAlign w:val="center"/>
          </w:tcPr>
          <w:p w14:paraId="1DCA4F90">
            <w:pPr>
              <w:widowControl/>
              <w:jc w:val="left"/>
              <w:rPr>
                <w:kern w:val="0"/>
                <w:sz w:val="24"/>
                <w:szCs w:val="24"/>
              </w:rPr>
            </w:pPr>
          </w:p>
        </w:tc>
      </w:tr>
      <w:tr w14:paraId="32DBBCD7">
        <w:tblPrEx>
          <w:tblCellMar>
            <w:top w:w="0" w:type="dxa"/>
            <w:left w:w="108" w:type="dxa"/>
            <w:bottom w:w="0" w:type="dxa"/>
            <w:right w:w="108" w:type="dxa"/>
          </w:tblCellMar>
        </w:tblPrEx>
        <w:trPr>
          <w:trHeight w:val="285" w:hRule="atLeast"/>
        </w:trPr>
        <w:tc>
          <w:tcPr>
            <w:tcW w:w="437" w:type="dxa"/>
            <w:vMerge w:val="continue"/>
            <w:tcBorders>
              <w:top w:val="single" w:color="auto" w:sz="4" w:space="0"/>
              <w:left w:val="single" w:color="auto" w:sz="4" w:space="0"/>
              <w:bottom w:val="single" w:color="auto" w:sz="4" w:space="0"/>
              <w:right w:val="single" w:color="auto" w:sz="4" w:space="0"/>
            </w:tcBorders>
            <w:noWrap w:val="0"/>
            <w:vAlign w:val="center"/>
          </w:tcPr>
          <w:p w14:paraId="045F8930">
            <w:pPr>
              <w:widowControl/>
              <w:jc w:val="left"/>
              <w:rPr>
                <w:rFonts w:ascii="宋体" w:hAnsi="宋体" w:cs="宋体"/>
                <w:color w:val="000000"/>
                <w:kern w:val="0"/>
                <w:sz w:val="24"/>
                <w:szCs w:val="24"/>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0F5F54C8">
            <w:pPr>
              <w:widowControl/>
              <w:jc w:val="left"/>
              <w:rPr>
                <w:rFonts w:ascii="宋体" w:hAnsi="宋体" w:cs="宋体"/>
                <w:color w:val="000000"/>
                <w:kern w:val="0"/>
                <w:sz w:val="24"/>
                <w:szCs w:val="24"/>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3F55DD51">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w:t>
            </w:r>
          </w:p>
          <w:p w14:paraId="55DA31D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auto" w:sz="4" w:space="0"/>
              <w:left w:val="single" w:color="auto" w:sz="4" w:space="0"/>
              <w:bottom w:val="single" w:color="auto" w:sz="4" w:space="0"/>
              <w:right w:val="single" w:color="auto" w:sz="4" w:space="0"/>
            </w:tcBorders>
            <w:noWrap w:val="0"/>
            <w:vAlign w:val="center"/>
          </w:tcPr>
          <w:p w14:paraId="43BAA28B">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10个教学点按计划完成工作情况</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31CB835">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3DDE3F3">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6E8ED3C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248204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9E28E0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tcBorders>
              <w:top w:val="nil"/>
              <w:left w:val="single" w:color="auto" w:sz="4" w:space="0"/>
              <w:bottom w:val="nil"/>
              <w:right w:val="nil"/>
            </w:tcBorders>
            <w:noWrap w:val="0"/>
            <w:vAlign w:val="center"/>
          </w:tcPr>
          <w:p w14:paraId="27C84B21">
            <w:pPr>
              <w:widowControl/>
              <w:jc w:val="left"/>
              <w:rPr>
                <w:kern w:val="0"/>
                <w:sz w:val="24"/>
                <w:szCs w:val="24"/>
              </w:rPr>
            </w:pPr>
          </w:p>
        </w:tc>
      </w:tr>
      <w:tr w14:paraId="7F04FF6F">
        <w:tblPrEx>
          <w:tblCellMar>
            <w:top w:w="0" w:type="dxa"/>
            <w:left w:w="108" w:type="dxa"/>
            <w:bottom w:w="0" w:type="dxa"/>
            <w:right w:w="108" w:type="dxa"/>
          </w:tblCellMar>
        </w:tblPrEx>
        <w:trPr>
          <w:trHeight w:val="285" w:hRule="atLeast"/>
        </w:trPr>
        <w:tc>
          <w:tcPr>
            <w:tcW w:w="437" w:type="dxa"/>
            <w:vMerge w:val="continue"/>
            <w:tcBorders>
              <w:top w:val="single" w:color="auto" w:sz="4" w:space="0"/>
              <w:left w:val="single" w:color="auto" w:sz="4" w:space="0"/>
              <w:bottom w:val="single" w:color="000000" w:sz="4" w:space="0"/>
              <w:right w:val="single" w:color="000000" w:sz="4" w:space="0"/>
            </w:tcBorders>
            <w:noWrap w:val="0"/>
            <w:vAlign w:val="center"/>
          </w:tcPr>
          <w:p w14:paraId="2EAF9E6E">
            <w:pPr>
              <w:widowControl/>
              <w:jc w:val="left"/>
              <w:rPr>
                <w:rFonts w:ascii="宋体" w:hAnsi="宋体" w:cs="宋体"/>
                <w:color w:val="000000"/>
                <w:kern w:val="0"/>
                <w:sz w:val="24"/>
                <w:szCs w:val="24"/>
              </w:rPr>
            </w:pPr>
          </w:p>
        </w:tc>
        <w:tc>
          <w:tcPr>
            <w:tcW w:w="753" w:type="dxa"/>
            <w:vMerge w:val="continue"/>
            <w:tcBorders>
              <w:top w:val="single" w:color="auto" w:sz="4" w:space="0"/>
              <w:left w:val="nil"/>
              <w:bottom w:val="single" w:color="000000" w:sz="4" w:space="0"/>
              <w:right w:val="single" w:color="auto" w:sz="4" w:space="0"/>
            </w:tcBorders>
            <w:noWrap w:val="0"/>
            <w:vAlign w:val="center"/>
          </w:tcPr>
          <w:p w14:paraId="0B4C9C86">
            <w:pPr>
              <w:widowControl/>
              <w:jc w:val="left"/>
              <w:rPr>
                <w:rFonts w:ascii="宋体" w:hAnsi="宋体" w:cs="宋体"/>
                <w:color w:val="000000"/>
                <w:kern w:val="0"/>
                <w:sz w:val="24"/>
                <w:szCs w:val="24"/>
              </w:rPr>
            </w:pPr>
          </w:p>
        </w:tc>
        <w:tc>
          <w:tcPr>
            <w:tcW w:w="1078" w:type="dxa"/>
            <w:vMerge w:val="continue"/>
            <w:tcBorders>
              <w:top w:val="single" w:color="auto" w:sz="4" w:space="0"/>
              <w:left w:val="single" w:color="auto" w:sz="4" w:space="0"/>
              <w:bottom w:val="single" w:color="000000" w:sz="4" w:space="0"/>
              <w:right w:val="single" w:color="000000" w:sz="4" w:space="0"/>
            </w:tcBorders>
            <w:noWrap w:val="0"/>
            <w:vAlign w:val="center"/>
          </w:tcPr>
          <w:p w14:paraId="2D4B1057">
            <w:pPr>
              <w:widowControl/>
              <w:jc w:val="left"/>
              <w:rPr>
                <w:rFonts w:ascii="宋体" w:hAnsi="宋体" w:cs="宋体"/>
                <w:color w:val="000000"/>
                <w:kern w:val="0"/>
                <w:sz w:val="24"/>
                <w:szCs w:val="24"/>
              </w:rPr>
            </w:pPr>
          </w:p>
        </w:tc>
        <w:tc>
          <w:tcPr>
            <w:tcW w:w="2033" w:type="dxa"/>
            <w:tcBorders>
              <w:top w:val="single" w:color="auto" w:sz="4" w:space="0"/>
              <w:left w:val="nil"/>
              <w:bottom w:val="single" w:color="000000" w:sz="4" w:space="0"/>
              <w:right w:val="single" w:color="000000" w:sz="4" w:space="0"/>
            </w:tcBorders>
            <w:noWrap w:val="0"/>
            <w:vAlign w:val="center"/>
          </w:tcPr>
          <w:p w14:paraId="6C636914">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指标2：</w:t>
            </w:r>
            <w:r>
              <w:rPr>
                <w:rFonts w:hint="eastAsia" w:ascii="宋体" w:hAnsi="宋体" w:cs="宋体"/>
                <w:color w:val="000000"/>
                <w:kern w:val="0"/>
                <w:sz w:val="24"/>
                <w:szCs w:val="24"/>
                <w:lang w:val="en-US" w:eastAsia="zh-CN"/>
              </w:rPr>
              <w:t>提升居民科学素养</w:t>
            </w:r>
          </w:p>
        </w:tc>
        <w:tc>
          <w:tcPr>
            <w:tcW w:w="860" w:type="dxa"/>
            <w:tcBorders>
              <w:top w:val="single" w:color="auto" w:sz="4" w:space="0"/>
              <w:left w:val="nil"/>
              <w:bottom w:val="single" w:color="000000" w:sz="4" w:space="0"/>
              <w:right w:val="single" w:color="000000" w:sz="4" w:space="0"/>
            </w:tcBorders>
            <w:noWrap w:val="0"/>
            <w:vAlign w:val="center"/>
          </w:tcPr>
          <w:p w14:paraId="4304D4BE">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效果显著</w:t>
            </w:r>
            <w:r>
              <w:rPr>
                <w:rFonts w:hint="eastAsia" w:ascii="宋体" w:hAnsi="宋体" w:cs="宋体"/>
                <w:color w:val="000000"/>
                <w:kern w:val="0"/>
                <w:sz w:val="24"/>
                <w:szCs w:val="24"/>
              </w:rPr>
              <w:t>　</w:t>
            </w:r>
          </w:p>
        </w:tc>
        <w:tc>
          <w:tcPr>
            <w:tcW w:w="768" w:type="dxa"/>
            <w:tcBorders>
              <w:top w:val="single" w:color="auto" w:sz="4" w:space="0"/>
              <w:left w:val="nil"/>
              <w:bottom w:val="single" w:color="000000" w:sz="4" w:space="0"/>
              <w:right w:val="single" w:color="000000" w:sz="4" w:space="0"/>
            </w:tcBorders>
            <w:noWrap w:val="0"/>
            <w:vAlign w:val="center"/>
          </w:tcPr>
          <w:p w14:paraId="36046AC9">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auto" w:sz="4" w:space="0"/>
              <w:left w:val="nil"/>
              <w:bottom w:val="single" w:color="000000" w:sz="4" w:space="0"/>
              <w:right w:val="single" w:color="000000" w:sz="4" w:space="0"/>
            </w:tcBorders>
            <w:noWrap w:val="0"/>
            <w:vAlign w:val="center"/>
          </w:tcPr>
          <w:p w14:paraId="66938E6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auto" w:sz="4" w:space="0"/>
              <w:left w:val="nil"/>
              <w:bottom w:val="single" w:color="000000" w:sz="4" w:space="0"/>
              <w:right w:val="single" w:color="000000" w:sz="4" w:space="0"/>
            </w:tcBorders>
            <w:noWrap w:val="0"/>
            <w:vAlign w:val="center"/>
          </w:tcPr>
          <w:p w14:paraId="745E291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auto" w:sz="4" w:space="0"/>
              <w:left w:val="nil"/>
              <w:bottom w:val="single" w:color="000000" w:sz="4" w:space="0"/>
              <w:right w:val="single" w:color="000000" w:sz="4" w:space="0"/>
            </w:tcBorders>
            <w:noWrap w:val="0"/>
            <w:vAlign w:val="center"/>
          </w:tcPr>
          <w:p w14:paraId="6B7B714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tcBorders>
              <w:top w:val="nil"/>
            </w:tcBorders>
            <w:noWrap w:val="0"/>
            <w:vAlign w:val="center"/>
          </w:tcPr>
          <w:p w14:paraId="16D16551">
            <w:pPr>
              <w:widowControl/>
              <w:jc w:val="left"/>
              <w:rPr>
                <w:kern w:val="0"/>
                <w:sz w:val="24"/>
                <w:szCs w:val="24"/>
              </w:rPr>
            </w:pPr>
          </w:p>
        </w:tc>
      </w:tr>
      <w:tr w14:paraId="41A76AA8">
        <w:tblPrEx>
          <w:tblCellMar>
            <w:top w:w="0" w:type="dxa"/>
            <w:left w:w="108" w:type="dxa"/>
            <w:bottom w:w="0" w:type="dxa"/>
            <w:right w:w="108" w:type="dxa"/>
          </w:tblCellMar>
        </w:tblPrEx>
        <w:trPr>
          <w:trHeight w:val="496"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15B71DCC">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auto" w:sz="4" w:space="0"/>
            </w:tcBorders>
            <w:noWrap w:val="0"/>
            <w:vAlign w:val="center"/>
          </w:tcPr>
          <w:p w14:paraId="5ADBAE93">
            <w:pPr>
              <w:widowControl/>
              <w:jc w:val="left"/>
              <w:rPr>
                <w:rFonts w:ascii="宋体" w:hAnsi="宋体" w:cs="宋体"/>
                <w:color w:val="000000"/>
                <w:kern w:val="0"/>
                <w:sz w:val="24"/>
                <w:szCs w:val="24"/>
              </w:rPr>
            </w:pPr>
          </w:p>
        </w:tc>
        <w:tc>
          <w:tcPr>
            <w:tcW w:w="1078" w:type="dxa"/>
            <w:vMerge w:val="continue"/>
            <w:tcBorders>
              <w:top w:val="nil"/>
              <w:left w:val="single" w:color="auto" w:sz="4" w:space="0"/>
              <w:bottom w:val="single" w:color="000000" w:sz="4" w:space="0"/>
              <w:right w:val="single" w:color="000000" w:sz="4" w:space="0"/>
            </w:tcBorders>
            <w:noWrap w:val="0"/>
            <w:vAlign w:val="center"/>
          </w:tcPr>
          <w:p w14:paraId="38ECDAB8">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369C561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21CF00D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1F3EDE9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671767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69B59A8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0E07C81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5811CB3">
            <w:pPr>
              <w:widowControl/>
              <w:jc w:val="left"/>
              <w:rPr>
                <w:kern w:val="0"/>
                <w:sz w:val="24"/>
                <w:szCs w:val="24"/>
              </w:rPr>
            </w:pPr>
          </w:p>
        </w:tc>
      </w:tr>
      <w:tr w14:paraId="09830CC7">
        <w:tblPrEx>
          <w:tblCellMar>
            <w:top w:w="0" w:type="dxa"/>
            <w:left w:w="108" w:type="dxa"/>
            <w:bottom w:w="0" w:type="dxa"/>
            <w:right w:w="108" w:type="dxa"/>
          </w:tblCellMar>
        </w:tblPrEx>
        <w:trPr>
          <w:trHeight w:val="497"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DF62178">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3F1762AF">
            <w:pPr>
              <w:widowControl/>
              <w:jc w:val="left"/>
              <w:rPr>
                <w:rFonts w:ascii="宋体" w:hAnsi="宋体" w:cs="宋体"/>
                <w:color w:val="000000"/>
                <w:kern w:val="0"/>
                <w:sz w:val="24"/>
                <w:szCs w:val="24"/>
              </w:rPr>
            </w:pPr>
          </w:p>
        </w:tc>
        <w:tc>
          <w:tcPr>
            <w:tcW w:w="1078" w:type="dxa"/>
            <w:vMerge w:val="restart"/>
            <w:tcBorders>
              <w:top w:val="nil"/>
              <w:left w:val="nil"/>
              <w:bottom w:val="single" w:color="000000" w:sz="4" w:space="0"/>
              <w:right w:val="single" w:color="000000" w:sz="4" w:space="0"/>
            </w:tcBorders>
            <w:noWrap w:val="0"/>
            <w:vAlign w:val="center"/>
          </w:tcPr>
          <w:p w14:paraId="7BA8270A">
            <w:pPr>
              <w:widowControl/>
              <w:jc w:val="center"/>
              <w:rPr>
                <w:rFonts w:ascii="宋体" w:hAnsi="宋体" w:cs="宋体"/>
                <w:color w:val="000000"/>
                <w:kern w:val="0"/>
                <w:sz w:val="24"/>
                <w:szCs w:val="24"/>
              </w:rPr>
            </w:pPr>
            <w:r>
              <w:rPr>
                <w:rFonts w:hint="eastAsia" w:ascii="宋体" w:hAnsi="宋体" w:cs="宋体"/>
                <w:color w:val="000000"/>
                <w:kern w:val="0"/>
                <w:sz w:val="24"/>
                <w:szCs w:val="24"/>
              </w:rPr>
              <w:t>成本</w:t>
            </w:r>
          </w:p>
          <w:p w14:paraId="6283ADE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3AE792AC">
            <w:pPr>
              <w:widowControl/>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总成本</w:t>
            </w:r>
          </w:p>
        </w:tc>
        <w:tc>
          <w:tcPr>
            <w:tcW w:w="860" w:type="dxa"/>
            <w:tcBorders>
              <w:top w:val="nil"/>
              <w:left w:val="nil"/>
              <w:bottom w:val="single" w:color="000000" w:sz="4" w:space="0"/>
              <w:right w:val="single" w:color="000000" w:sz="4" w:space="0"/>
            </w:tcBorders>
            <w:noWrap w:val="0"/>
            <w:vAlign w:val="center"/>
          </w:tcPr>
          <w:p w14:paraId="12551C44">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2万元</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7C14351A">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1C3664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5DB1CA1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7D38912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790BFE86">
            <w:pPr>
              <w:widowControl/>
              <w:jc w:val="left"/>
              <w:rPr>
                <w:kern w:val="0"/>
                <w:sz w:val="24"/>
                <w:szCs w:val="24"/>
              </w:rPr>
            </w:pPr>
          </w:p>
        </w:tc>
      </w:tr>
      <w:tr w14:paraId="6ACDDCA1">
        <w:tblPrEx>
          <w:tblCellMar>
            <w:top w:w="0" w:type="dxa"/>
            <w:left w:w="108" w:type="dxa"/>
            <w:bottom w:w="0" w:type="dxa"/>
            <w:right w:w="108" w:type="dxa"/>
          </w:tblCellMar>
        </w:tblPrEx>
        <w:trPr>
          <w:trHeight w:val="473"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3643EC82">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6B52335D">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35444539">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60B5ADE8">
            <w:pPr>
              <w:widowControl/>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5EE6636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78C2F45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61AF5EE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3AB1711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40AB11D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303AC9B">
            <w:pPr>
              <w:widowControl/>
              <w:jc w:val="left"/>
              <w:rPr>
                <w:kern w:val="0"/>
                <w:sz w:val="24"/>
                <w:szCs w:val="24"/>
              </w:rPr>
            </w:pPr>
          </w:p>
        </w:tc>
      </w:tr>
      <w:tr w14:paraId="0AB6E19B">
        <w:tblPrEx>
          <w:tblCellMar>
            <w:top w:w="0" w:type="dxa"/>
            <w:left w:w="108" w:type="dxa"/>
            <w:bottom w:w="0" w:type="dxa"/>
            <w:right w:w="108" w:type="dxa"/>
          </w:tblCellMar>
        </w:tblPrEx>
        <w:trPr>
          <w:trHeight w:val="473"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82E01E4">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0CC097B3">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1A573D51">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078D1ED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0CFF5FB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2E41803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46D99E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4712A2C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2D29C8C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28B1F1A9">
            <w:pPr>
              <w:widowControl/>
              <w:jc w:val="left"/>
              <w:rPr>
                <w:kern w:val="0"/>
                <w:sz w:val="24"/>
                <w:szCs w:val="24"/>
              </w:rPr>
            </w:pPr>
          </w:p>
        </w:tc>
      </w:tr>
      <w:tr w14:paraId="7D3925AE">
        <w:tblPrEx>
          <w:tblCellMar>
            <w:top w:w="0" w:type="dxa"/>
            <w:left w:w="108" w:type="dxa"/>
            <w:bottom w:w="0" w:type="dxa"/>
            <w:right w:w="108" w:type="dxa"/>
          </w:tblCellMar>
        </w:tblPrEx>
        <w:trPr>
          <w:trHeight w:val="508"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0C6E8720">
            <w:pPr>
              <w:widowControl/>
              <w:jc w:val="left"/>
              <w:rPr>
                <w:rFonts w:ascii="宋体" w:hAnsi="宋体" w:cs="宋体"/>
                <w:color w:val="000000"/>
                <w:kern w:val="0"/>
                <w:sz w:val="24"/>
                <w:szCs w:val="24"/>
              </w:rPr>
            </w:pPr>
          </w:p>
        </w:tc>
        <w:tc>
          <w:tcPr>
            <w:tcW w:w="753" w:type="dxa"/>
            <w:vMerge w:val="restart"/>
            <w:tcBorders>
              <w:top w:val="nil"/>
              <w:left w:val="nil"/>
              <w:bottom w:val="single" w:color="000000" w:sz="4" w:space="0"/>
              <w:right w:val="single" w:color="000000" w:sz="4" w:space="0"/>
            </w:tcBorders>
            <w:noWrap w:val="0"/>
            <w:vAlign w:val="center"/>
          </w:tcPr>
          <w:p w14:paraId="39CEAE85">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078" w:type="dxa"/>
            <w:vMerge w:val="restart"/>
            <w:tcBorders>
              <w:top w:val="nil"/>
              <w:left w:val="nil"/>
              <w:bottom w:val="single" w:color="000000" w:sz="4" w:space="0"/>
              <w:right w:val="single" w:color="000000" w:sz="4" w:space="0"/>
            </w:tcBorders>
            <w:noWrap w:val="0"/>
            <w:vAlign w:val="center"/>
          </w:tcPr>
          <w:p w14:paraId="1B9E1660">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w:t>
            </w:r>
          </w:p>
          <w:p w14:paraId="33C4C0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效益</w:t>
            </w:r>
          </w:p>
          <w:p w14:paraId="3A9ABE4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612EBF75">
            <w:pPr>
              <w:widowControl/>
              <w:jc w:val="left"/>
              <w:rPr>
                <w:rFonts w:ascii="宋体" w:hAnsi="宋体" w:cs="宋体"/>
                <w:color w:val="000000"/>
                <w:kern w:val="0"/>
                <w:sz w:val="24"/>
                <w:szCs w:val="24"/>
              </w:rPr>
            </w:pPr>
            <w:r>
              <w:rPr>
                <w:rFonts w:hint="eastAsia" w:ascii="宋体" w:hAnsi="宋体" w:cs="宋体"/>
                <w:color w:val="000000"/>
                <w:kern w:val="0"/>
                <w:sz w:val="24"/>
                <w:szCs w:val="24"/>
              </w:rPr>
              <w:t>指标1：</w:t>
            </w:r>
          </w:p>
        </w:tc>
        <w:tc>
          <w:tcPr>
            <w:tcW w:w="860" w:type="dxa"/>
            <w:tcBorders>
              <w:top w:val="nil"/>
              <w:left w:val="nil"/>
              <w:bottom w:val="single" w:color="000000" w:sz="4" w:space="0"/>
              <w:right w:val="single" w:color="000000" w:sz="4" w:space="0"/>
            </w:tcBorders>
            <w:noWrap w:val="0"/>
            <w:vAlign w:val="center"/>
          </w:tcPr>
          <w:p w14:paraId="1E9EF5F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43CBFA4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49DEAE83">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30</w:t>
            </w:r>
          </w:p>
        </w:tc>
        <w:tc>
          <w:tcPr>
            <w:tcW w:w="689" w:type="dxa"/>
            <w:tcBorders>
              <w:top w:val="single" w:color="000000" w:sz="4" w:space="0"/>
              <w:left w:val="nil"/>
              <w:bottom w:val="single" w:color="000000" w:sz="4" w:space="0"/>
              <w:right w:val="single" w:color="000000" w:sz="4" w:space="0"/>
            </w:tcBorders>
            <w:noWrap w:val="0"/>
            <w:vAlign w:val="center"/>
          </w:tcPr>
          <w:p w14:paraId="43FF28DA">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24D2CDA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00BCC2D7">
            <w:pPr>
              <w:widowControl/>
              <w:jc w:val="left"/>
              <w:rPr>
                <w:kern w:val="0"/>
                <w:sz w:val="24"/>
                <w:szCs w:val="24"/>
              </w:rPr>
            </w:pPr>
          </w:p>
        </w:tc>
      </w:tr>
      <w:tr w14:paraId="3E835BA8">
        <w:tblPrEx>
          <w:tblCellMar>
            <w:top w:w="0" w:type="dxa"/>
            <w:left w:w="108" w:type="dxa"/>
            <w:bottom w:w="0" w:type="dxa"/>
            <w:right w:w="108" w:type="dxa"/>
          </w:tblCellMar>
        </w:tblPrEx>
        <w:trPr>
          <w:trHeight w:val="450"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2ACF9CCB">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641FC027">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33E2D0C0">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1EBD269D">
            <w:pPr>
              <w:widowControl/>
              <w:jc w:val="left"/>
              <w:rPr>
                <w:rFonts w:ascii="宋体" w:hAnsi="宋体" w:cs="宋体"/>
                <w:color w:val="000000"/>
                <w:kern w:val="0"/>
                <w:sz w:val="24"/>
                <w:szCs w:val="24"/>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691095D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5B21DD8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4AB50AE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719E385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71C00B9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1D304DDC">
            <w:pPr>
              <w:widowControl/>
              <w:jc w:val="left"/>
              <w:rPr>
                <w:kern w:val="0"/>
                <w:sz w:val="24"/>
                <w:szCs w:val="24"/>
              </w:rPr>
            </w:pPr>
          </w:p>
        </w:tc>
      </w:tr>
      <w:tr w14:paraId="69CA9E1F">
        <w:tblPrEx>
          <w:tblCellMar>
            <w:top w:w="0" w:type="dxa"/>
            <w:left w:w="108" w:type="dxa"/>
            <w:bottom w:w="0" w:type="dxa"/>
            <w:right w:w="108" w:type="dxa"/>
          </w:tblCellMar>
        </w:tblPrEx>
        <w:trPr>
          <w:trHeight w:val="508"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45FEAD85">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51652131">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49F1A13D">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44DCF100">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5B98A40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29AB213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31658E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7FDAB67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0E7C10B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672C94D9">
            <w:pPr>
              <w:widowControl/>
              <w:jc w:val="left"/>
              <w:rPr>
                <w:kern w:val="0"/>
                <w:sz w:val="24"/>
                <w:szCs w:val="24"/>
              </w:rPr>
            </w:pPr>
          </w:p>
        </w:tc>
      </w:tr>
      <w:tr w14:paraId="291DB042">
        <w:tblPrEx>
          <w:tblCellMar>
            <w:top w:w="0" w:type="dxa"/>
            <w:left w:w="108" w:type="dxa"/>
            <w:bottom w:w="0" w:type="dxa"/>
            <w:right w:w="108" w:type="dxa"/>
          </w:tblCellMar>
        </w:tblPrEx>
        <w:trPr>
          <w:trHeight w:val="28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2A27A732">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57A4604A">
            <w:pPr>
              <w:widowControl/>
              <w:jc w:val="left"/>
              <w:rPr>
                <w:rFonts w:ascii="宋体" w:hAnsi="宋体" w:cs="宋体"/>
                <w:color w:val="000000"/>
                <w:kern w:val="0"/>
                <w:sz w:val="24"/>
                <w:szCs w:val="24"/>
              </w:rPr>
            </w:pPr>
          </w:p>
        </w:tc>
        <w:tc>
          <w:tcPr>
            <w:tcW w:w="1078" w:type="dxa"/>
            <w:vMerge w:val="restart"/>
            <w:tcBorders>
              <w:top w:val="nil"/>
              <w:left w:val="nil"/>
              <w:bottom w:val="single" w:color="000000" w:sz="4" w:space="0"/>
              <w:right w:val="single" w:color="000000" w:sz="4" w:space="0"/>
            </w:tcBorders>
            <w:noWrap w:val="0"/>
            <w:vAlign w:val="center"/>
          </w:tcPr>
          <w:p w14:paraId="3EA9662C">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w:t>
            </w:r>
          </w:p>
          <w:p w14:paraId="46C8AC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效益</w:t>
            </w:r>
          </w:p>
          <w:p w14:paraId="3C8DB25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5D73DD81">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居民科学素养得到提升</w:t>
            </w:r>
          </w:p>
        </w:tc>
        <w:tc>
          <w:tcPr>
            <w:tcW w:w="860" w:type="dxa"/>
            <w:tcBorders>
              <w:top w:val="nil"/>
              <w:left w:val="nil"/>
              <w:bottom w:val="single" w:color="000000" w:sz="4" w:space="0"/>
              <w:right w:val="single" w:color="000000" w:sz="4" w:space="0"/>
            </w:tcBorders>
            <w:noWrap w:val="0"/>
            <w:vAlign w:val="center"/>
          </w:tcPr>
          <w:p w14:paraId="06C2EEAC">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效果显著</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1E6FD6E2">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A7A03F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45333A0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480AB9E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0549A79C">
            <w:pPr>
              <w:widowControl/>
              <w:jc w:val="left"/>
              <w:rPr>
                <w:kern w:val="0"/>
                <w:sz w:val="24"/>
                <w:szCs w:val="24"/>
              </w:rPr>
            </w:pPr>
          </w:p>
        </w:tc>
      </w:tr>
      <w:tr w14:paraId="4AE47A4F">
        <w:tblPrEx>
          <w:tblCellMar>
            <w:top w:w="0" w:type="dxa"/>
            <w:left w:w="108" w:type="dxa"/>
            <w:bottom w:w="0" w:type="dxa"/>
            <w:right w:w="108" w:type="dxa"/>
          </w:tblCellMar>
        </w:tblPrEx>
        <w:trPr>
          <w:trHeight w:val="496"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5B0B7894">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652D8052">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1879FB79">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13DED695">
            <w:pPr>
              <w:widowControl/>
              <w:jc w:val="left"/>
              <w:rPr>
                <w:rFonts w:ascii="宋体" w:hAnsi="宋体" w:cs="宋体"/>
                <w:color w:val="000000"/>
                <w:kern w:val="0"/>
                <w:sz w:val="24"/>
                <w:szCs w:val="24"/>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764736D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7DDA431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7188FC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090F4BB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3E15C11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D12EDA9">
            <w:pPr>
              <w:widowControl/>
              <w:jc w:val="left"/>
              <w:rPr>
                <w:kern w:val="0"/>
                <w:sz w:val="24"/>
                <w:szCs w:val="24"/>
              </w:rPr>
            </w:pPr>
          </w:p>
        </w:tc>
      </w:tr>
      <w:tr w14:paraId="0D94D055">
        <w:tblPrEx>
          <w:tblCellMar>
            <w:top w:w="0" w:type="dxa"/>
            <w:left w:w="108" w:type="dxa"/>
            <w:bottom w:w="0" w:type="dxa"/>
            <w:right w:w="108" w:type="dxa"/>
          </w:tblCellMar>
        </w:tblPrEx>
        <w:trPr>
          <w:trHeight w:val="520"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12CD6BE1">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075992F1">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09301195">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3BFC35C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2F6600C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3970A58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2049B18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28E9872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56FDE5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682A2EDE">
            <w:pPr>
              <w:widowControl/>
              <w:jc w:val="left"/>
              <w:rPr>
                <w:kern w:val="0"/>
                <w:sz w:val="24"/>
                <w:szCs w:val="24"/>
              </w:rPr>
            </w:pPr>
          </w:p>
        </w:tc>
      </w:tr>
      <w:tr w14:paraId="45EA7561">
        <w:tblPrEx>
          <w:tblCellMar>
            <w:top w:w="0" w:type="dxa"/>
            <w:left w:w="108" w:type="dxa"/>
            <w:bottom w:w="0" w:type="dxa"/>
            <w:right w:w="108" w:type="dxa"/>
          </w:tblCellMar>
        </w:tblPrEx>
        <w:trPr>
          <w:trHeight w:val="462"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33396C30">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791A81AA">
            <w:pPr>
              <w:widowControl/>
              <w:jc w:val="left"/>
              <w:rPr>
                <w:rFonts w:ascii="宋体" w:hAnsi="宋体" w:cs="宋体"/>
                <w:color w:val="000000"/>
                <w:kern w:val="0"/>
                <w:sz w:val="24"/>
                <w:szCs w:val="24"/>
              </w:rPr>
            </w:pPr>
          </w:p>
        </w:tc>
        <w:tc>
          <w:tcPr>
            <w:tcW w:w="1078" w:type="dxa"/>
            <w:vMerge w:val="restart"/>
            <w:tcBorders>
              <w:top w:val="nil"/>
              <w:left w:val="nil"/>
              <w:bottom w:val="single" w:color="000000" w:sz="4" w:space="0"/>
              <w:right w:val="single" w:color="000000" w:sz="4" w:space="0"/>
            </w:tcBorders>
            <w:noWrap w:val="0"/>
            <w:vAlign w:val="center"/>
          </w:tcPr>
          <w:p w14:paraId="2064B837">
            <w:pPr>
              <w:widowControl/>
              <w:jc w:val="center"/>
              <w:rPr>
                <w:rFonts w:ascii="宋体" w:hAnsi="宋体" w:cs="宋体"/>
                <w:color w:val="000000"/>
                <w:kern w:val="0"/>
                <w:sz w:val="24"/>
                <w:szCs w:val="24"/>
              </w:rPr>
            </w:pPr>
            <w:r>
              <w:rPr>
                <w:rFonts w:hint="eastAsia" w:ascii="宋体" w:hAnsi="宋体" w:cs="宋体"/>
                <w:color w:val="000000"/>
                <w:kern w:val="0"/>
                <w:sz w:val="24"/>
                <w:szCs w:val="24"/>
              </w:rPr>
              <w:t>生态</w:t>
            </w:r>
          </w:p>
          <w:p w14:paraId="15C011E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效益</w:t>
            </w:r>
          </w:p>
          <w:p w14:paraId="41F6609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w:t>
            </w:r>
          </w:p>
        </w:tc>
        <w:tc>
          <w:tcPr>
            <w:tcW w:w="2033" w:type="dxa"/>
            <w:tcBorders>
              <w:top w:val="single" w:color="000000" w:sz="4" w:space="0"/>
              <w:left w:val="nil"/>
              <w:bottom w:val="single" w:color="000000" w:sz="4" w:space="0"/>
              <w:right w:val="single" w:color="000000" w:sz="4" w:space="0"/>
            </w:tcBorders>
            <w:noWrap w:val="0"/>
            <w:vAlign w:val="center"/>
          </w:tcPr>
          <w:p w14:paraId="505CD0CE">
            <w:pPr>
              <w:widowControl/>
              <w:jc w:val="left"/>
              <w:rPr>
                <w:rFonts w:ascii="宋体" w:hAnsi="宋体" w:cs="宋体"/>
                <w:color w:val="000000"/>
                <w:kern w:val="0"/>
                <w:sz w:val="24"/>
                <w:szCs w:val="24"/>
              </w:rPr>
            </w:pPr>
            <w:r>
              <w:rPr>
                <w:rFonts w:hint="eastAsia" w:ascii="宋体" w:hAnsi="宋体" w:cs="宋体"/>
                <w:color w:val="000000"/>
                <w:kern w:val="0"/>
                <w:sz w:val="24"/>
                <w:szCs w:val="24"/>
              </w:rPr>
              <w:t>指标1：</w:t>
            </w:r>
          </w:p>
        </w:tc>
        <w:tc>
          <w:tcPr>
            <w:tcW w:w="860" w:type="dxa"/>
            <w:tcBorders>
              <w:top w:val="nil"/>
              <w:left w:val="nil"/>
              <w:bottom w:val="single" w:color="000000" w:sz="4" w:space="0"/>
              <w:right w:val="single" w:color="000000" w:sz="4" w:space="0"/>
            </w:tcBorders>
            <w:noWrap w:val="0"/>
            <w:vAlign w:val="center"/>
          </w:tcPr>
          <w:p w14:paraId="4876E6A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5EA0FC1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624353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3AA8D37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55EEDF7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1358834C">
            <w:pPr>
              <w:widowControl/>
              <w:jc w:val="left"/>
              <w:rPr>
                <w:kern w:val="0"/>
                <w:sz w:val="24"/>
                <w:szCs w:val="24"/>
              </w:rPr>
            </w:pPr>
          </w:p>
        </w:tc>
      </w:tr>
      <w:tr w14:paraId="0F8230BA">
        <w:tblPrEx>
          <w:tblCellMar>
            <w:top w:w="0" w:type="dxa"/>
            <w:left w:w="108" w:type="dxa"/>
            <w:bottom w:w="0" w:type="dxa"/>
            <w:right w:w="108" w:type="dxa"/>
          </w:tblCellMar>
        </w:tblPrEx>
        <w:trPr>
          <w:trHeight w:val="508"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5E4792C7">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44EED7C9">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0C1E8875">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074FE9A9">
            <w:pPr>
              <w:widowControl/>
              <w:jc w:val="left"/>
              <w:rPr>
                <w:rFonts w:ascii="宋体" w:hAnsi="宋体" w:cs="宋体"/>
                <w:color w:val="000000"/>
                <w:kern w:val="0"/>
                <w:sz w:val="24"/>
                <w:szCs w:val="24"/>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40C2674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60A5F3C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D96ADB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2C46B76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442E8FA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5927EB0A">
            <w:pPr>
              <w:widowControl/>
              <w:jc w:val="left"/>
              <w:rPr>
                <w:kern w:val="0"/>
                <w:sz w:val="24"/>
                <w:szCs w:val="24"/>
              </w:rPr>
            </w:pPr>
          </w:p>
        </w:tc>
      </w:tr>
      <w:tr w14:paraId="501C35CB">
        <w:tblPrEx>
          <w:tblCellMar>
            <w:top w:w="0" w:type="dxa"/>
            <w:left w:w="108" w:type="dxa"/>
            <w:bottom w:w="0" w:type="dxa"/>
            <w:right w:w="108" w:type="dxa"/>
          </w:tblCellMar>
        </w:tblPrEx>
        <w:trPr>
          <w:trHeight w:val="473"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3C290702">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1EF71973">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58D224CB">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537A63AB">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477CD2A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57BC526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6194403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112123E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045FE47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49EB83F3">
            <w:pPr>
              <w:widowControl/>
              <w:jc w:val="left"/>
              <w:rPr>
                <w:kern w:val="0"/>
                <w:sz w:val="24"/>
                <w:szCs w:val="24"/>
              </w:rPr>
            </w:pPr>
          </w:p>
        </w:tc>
      </w:tr>
      <w:tr w14:paraId="477F525F">
        <w:tblPrEx>
          <w:tblCellMar>
            <w:top w:w="0" w:type="dxa"/>
            <w:left w:w="108" w:type="dxa"/>
            <w:bottom w:w="0" w:type="dxa"/>
            <w:right w:w="108" w:type="dxa"/>
          </w:tblCellMar>
        </w:tblPrEx>
        <w:trPr>
          <w:trHeight w:val="496"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16582483">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5C291F90">
            <w:pPr>
              <w:widowControl/>
              <w:jc w:val="left"/>
              <w:rPr>
                <w:rFonts w:ascii="宋体" w:hAnsi="宋体" w:cs="宋体"/>
                <w:color w:val="000000"/>
                <w:kern w:val="0"/>
                <w:sz w:val="24"/>
                <w:szCs w:val="24"/>
              </w:rPr>
            </w:pPr>
          </w:p>
        </w:tc>
        <w:tc>
          <w:tcPr>
            <w:tcW w:w="1078" w:type="dxa"/>
            <w:vMerge w:val="restart"/>
            <w:tcBorders>
              <w:top w:val="nil"/>
              <w:left w:val="nil"/>
              <w:bottom w:val="single" w:color="000000" w:sz="4" w:space="0"/>
              <w:right w:val="single" w:color="000000" w:sz="4" w:space="0"/>
            </w:tcBorders>
            <w:noWrap w:val="0"/>
            <w:vAlign w:val="center"/>
          </w:tcPr>
          <w:p w14:paraId="250DF49A">
            <w:pPr>
              <w:widowControl/>
              <w:jc w:val="center"/>
              <w:rPr>
                <w:rFonts w:ascii="宋体" w:hAnsi="宋体" w:cs="宋体"/>
                <w:color w:val="000000"/>
                <w:kern w:val="0"/>
                <w:sz w:val="24"/>
                <w:szCs w:val="24"/>
              </w:rPr>
            </w:pPr>
            <w:r>
              <w:rPr>
                <w:rFonts w:hint="eastAsia" w:ascii="宋体" w:hAnsi="宋体" w:cs="宋体"/>
                <w:color w:val="000000"/>
                <w:kern w:val="0"/>
                <w:sz w:val="24"/>
                <w:szCs w:val="24"/>
              </w:rPr>
              <w:t>可持续</w:t>
            </w:r>
          </w:p>
          <w:p w14:paraId="23C83545">
            <w:pPr>
              <w:widowControl/>
              <w:jc w:val="center"/>
              <w:rPr>
                <w:rFonts w:ascii="宋体" w:hAnsi="宋体" w:cs="宋体"/>
                <w:color w:val="000000"/>
                <w:kern w:val="0"/>
                <w:sz w:val="24"/>
                <w:szCs w:val="24"/>
              </w:rPr>
            </w:pPr>
            <w:r>
              <w:rPr>
                <w:rFonts w:hint="eastAsia" w:ascii="宋体" w:hAnsi="宋体" w:cs="宋体"/>
                <w:color w:val="000000"/>
                <w:kern w:val="0"/>
                <w:sz w:val="24"/>
                <w:szCs w:val="24"/>
              </w:rPr>
              <w:t>影响指标</w:t>
            </w:r>
          </w:p>
        </w:tc>
        <w:tc>
          <w:tcPr>
            <w:tcW w:w="2033" w:type="dxa"/>
            <w:tcBorders>
              <w:top w:val="single" w:color="000000" w:sz="4" w:space="0"/>
              <w:left w:val="nil"/>
              <w:bottom w:val="single" w:color="000000" w:sz="4" w:space="0"/>
              <w:right w:val="single" w:color="000000" w:sz="4" w:space="0"/>
            </w:tcBorders>
            <w:noWrap w:val="0"/>
            <w:vAlign w:val="center"/>
          </w:tcPr>
          <w:p w14:paraId="118C45FA">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执行年度</w:t>
            </w:r>
          </w:p>
        </w:tc>
        <w:tc>
          <w:tcPr>
            <w:tcW w:w="860" w:type="dxa"/>
            <w:tcBorders>
              <w:top w:val="nil"/>
              <w:left w:val="nil"/>
              <w:bottom w:val="single" w:color="000000" w:sz="4" w:space="0"/>
              <w:right w:val="single" w:color="000000" w:sz="4" w:space="0"/>
            </w:tcBorders>
            <w:noWrap w:val="0"/>
            <w:vAlign w:val="center"/>
          </w:tcPr>
          <w:p w14:paraId="6FDC774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1年</w:t>
            </w:r>
          </w:p>
        </w:tc>
        <w:tc>
          <w:tcPr>
            <w:tcW w:w="768" w:type="dxa"/>
            <w:tcBorders>
              <w:top w:val="nil"/>
              <w:left w:val="nil"/>
              <w:bottom w:val="single" w:color="000000" w:sz="4" w:space="0"/>
              <w:right w:val="single" w:color="000000" w:sz="4" w:space="0"/>
            </w:tcBorders>
            <w:noWrap w:val="0"/>
            <w:vAlign w:val="center"/>
          </w:tcPr>
          <w:p w14:paraId="403CC644">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98F6FA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4E8F9C2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49C668A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1866F94F">
            <w:pPr>
              <w:widowControl/>
              <w:jc w:val="left"/>
              <w:rPr>
                <w:kern w:val="0"/>
                <w:sz w:val="24"/>
                <w:szCs w:val="24"/>
              </w:rPr>
            </w:pPr>
          </w:p>
        </w:tc>
      </w:tr>
      <w:tr w14:paraId="51BDAFC7">
        <w:tblPrEx>
          <w:tblCellMar>
            <w:top w:w="0" w:type="dxa"/>
            <w:left w:w="108" w:type="dxa"/>
            <w:bottom w:w="0" w:type="dxa"/>
            <w:right w:w="108" w:type="dxa"/>
          </w:tblCellMar>
        </w:tblPrEx>
        <w:trPr>
          <w:trHeight w:val="474"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6CFF343C">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5A2AB250">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7D6B5D8A">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0EB04B64">
            <w:pPr>
              <w:widowControl/>
              <w:jc w:val="left"/>
              <w:rPr>
                <w:rFonts w:ascii="宋体" w:hAnsi="宋体" w:cs="宋体"/>
                <w:color w:val="000000"/>
                <w:kern w:val="0"/>
                <w:sz w:val="24"/>
                <w:szCs w:val="24"/>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5186F89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79D2778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17752EA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4B146B8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1567C16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262E0E78">
            <w:pPr>
              <w:widowControl/>
              <w:jc w:val="left"/>
              <w:rPr>
                <w:kern w:val="0"/>
                <w:sz w:val="24"/>
                <w:szCs w:val="24"/>
              </w:rPr>
            </w:pPr>
          </w:p>
        </w:tc>
      </w:tr>
      <w:tr w14:paraId="6234A4CF">
        <w:tblPrEx>
          <w:tblCellMar>
            <w:top w:w="0" w:type="dxa"/>
            <w:left w:w="108" w:type="dxa"/>
            <w:bottom w:w="0" w:type="dxa"/>
            <w:right w:w="108" w:type="dxa"/>
          </w:tblCellMar>
        </w:tblPrEx>
        <w:trPr>
          <w:trHeight w:val="474"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517D4629">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1BE2D25F">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22ED83B7">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42A27F2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19D5390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692AE4B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E2354B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2CD7DC6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693F6B1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E543D81">
            <w:pPr>
              <w:widowControl/>
              <w:jc w:val="left"/>
              <w:rPr>
                <w:kern w:val="0"/>
                <w:sz w:val="24"/>
                <w:szCs w:val="24"/>
              </w:rPr>
            </w:pPr>
          </w:p>
        </w:tc>
      </w:tr>
      <w:tr w14:paraId="5EDD788F">
        <w:tblPrEx>
          <w:tblCellMar>
            <w:top w:w="0" w:type="dxa"/>
            <w:left w:w="108" w:type="dxa"/>
            <w:bottom w:w="0" w:type="dxa"/>
            <w:right w:w="108" w:type="dxa"/>
          </w:tblCellMar>
        </w:tblPrEx>
        <w:trPr>
          <w:trHeight w:val="28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6E59A357">
            <w:pPr>
              <w:widowControl/>
              <w:jc w:val="left"/>
              <w:rPr>
                <w:rFonts w:ascii="宋体" w:hAnsi="宋体" w:cs="宋体"/>
                <w:color w:val="000000"/>
                <w:kern w:val="0"/>
                <w:sz w:val="24"/>
                <w:szCs w:val="24"/>
              </w:rPr>
            </w:pPr>
          </w:p>
        </w:tc>
        <w:tc>
          <w:tcPr>
            <w:tcW w:w="753" w:type="dxa"/>
            <w:vMerge w:val="restart"/>
            <w:tcBorders>
              <w:top w:val="nil"/>
              <w:left w:val="nil"/>
              <w:bottom w:val="single" w:color="000000" w:sz="4" w:space="0"/>
              <w:right w:val="single" w:color="000000" w:sz="4" w:space="0"/>
            </w:tcBorders>
            <w:noWrap w:val="0"/>
            <w:vAlign w:val="center"/>
          </w:tcPr>
          <w:p w14:paraId="6FC8A20A">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078" w:type="dxa"/>
            <w:vMerge w:val="restart"/>
            <w:tcBorders>
              <w:top w:val="nil"/>
              <w:left w:val="nil"/>
              <w:bottom w:val="single" w:color="000000" w:sz="4" w:space="0"/>
              <w:right w:val="single" w:color="000000" w:sz="4" w:space="0"/>
            </w:tcBorders>
            <w:noWrap w:val="0"/>
            <w:vAlign w:val="center"/>
          </w:tcPr>
          <w:p w14:paraId="346E192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服务对象满意度指标</w:t>
            </w:r>
          </w:p>
        </w:tc>
        <w:tc>
          <w:tcPr>
            <w:tcW w:w="2033" w:type="dxa"/>
            <w:tcBorders>
              <w:top w:val="single" w:color="000000" w:sz="4" w:space="0"/>
              <w:left w:val="nil"/>
              <w:bottom w:val="single" w:color="000000" w:sz="4" w:space="0"/>
              <w:right w:val="single" w:color="000000" w:sz="4" w:space="0"/>
            </w:tcBorders>
            <w:noWrap w:val="0"/>
            <w:vAlign w:val="center"/>
          </w:tcPr>
          <w:p w14:paraId="4D17706F">
            <w:pPr>
              <w:widowControl/>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指标1：</w:t>
            </w:r>
            <w:r>
              <w:rPr>
                <w:rFonts w:hint="eastAsia" w:ascii="宋体" w:hAnsi="宋体" w:cs="宋体"/>
                <w:color w:val="000000"/>
                <w:kern w:val="0"/>
                <w:sz w:val="24"/>
                <w:szCs w:val="24"/>
                <w:lang w:val="en-US" w:eastAsia="zh-CN"/>
              </w:rPr>
              <w:t>居民满意度</w:t>
            </w:r>
          </w:p>
        </w:tc>
        <w:tc>
          <w:tcPr>
            <w:tcW w:w="860" w:type="dxa"/>
            <w:tcBorders>
              <w:top w:val="nil"/>
              <w:left w:val="nil"/>
              <w:bottom w:val="single" w:color="000000" w:sz="4" w:space="0"/>
              <w:right w:val="single" w:color="000000" w:sz="4" w:space="0"/>
            </w:tcBorders>
            <w:noWrap w:val="0"/>
            <w:vAlign w:val="center"/>
          </w:tcPr>
          <w:p w14:paraId="2412682C">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≥90%</w:t>
            </w: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43D6D662">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63D598C2">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2A646850">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6662366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34438E0A">
            <w:pPr>
              <w:widowControl/>
              <w:jc w:val="left"/>
              <w:rPr>
                <w:kern w:val="0"/>
                <w:sz w:val="24"/>
                <w:szCs w:val="24"/>
              </w:rPr>
            </w:pPr>
          </w:p>
        </w:tc>
      </w:tr>
      <w:tr w14:paraId="714A1FD2">
        <w:tblPrEx>
          <w:tblCellMar>
            <w:top w:w="0" w:type="dxa"/>
            <w:left w:w="108" w:type="dxa"/>
            <w:bottom w:w="0" w:type="dxa"/>
            <w:right w:w="108" w:type="dxa"/>
          </w:tblCellMar>
        </w:tblPrEx>
        <w:trPr>
          <w:trHeight w:val="520"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0DAF1E94">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0666A5D5">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3A5816D0">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3C4B31C1">
            <w:pPr>
              <w:widowControl/>
              <w:jc w:val="left"/>
              <w:rPr>
                <w:rFonts w:ascii="宋体" w:hAnsi="宋体" w:cs="宋体"/>
                <w:color w:val="000000"/>
                <w:kern w:val="0"/>
                <w:sz w:val="24"/>
                <w:szCs w:val="24"/>
              </w:rPr>
            </w:pPr>
            <w:r>
              <w:rPr>
                <w:rFonts w:hint="eastAsia" w:ascii="宋体" w:hAnsi="宋体" w:cs="宋体"/>
                <w:color w:val="000000"/>
                <w:kern w:val="0"/>
                <w:sz w:val="24"/>
                <w:szCs w:val="24"/>
              </w:rPr>
              <w:t>指标2：</w:t>
            </w:r>
          </w:p>
        </w:tc>
        <w:tc>
          <w:tcPr>
            <w:tcW w:w="860" w:type="dxa"/>
            <w:tcBorders>
              <w:top w:val="nil"/>
              <w:left w:val="nil"/>
              <w:bottom w:val="single" w:color="000000" w:sz="4" w:space="0"/>
              <w:right w:val="single" w:color="000000" w:sz="4" w:space="0"/>
            </w:tcBorders>
            <w:noWrap w:val="0"/>
            <w:vAlign w:val="center"/>
          </w:tcPr>
          <w:p w14:paraId="3326DB1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713A3BA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74A04AA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110DBF2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2E9D9C3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2BC50EF6">
            <w:pPr>
              <w:widowControl/>
              <w:jc w:val="left"/>
              <w:rPr>
                <w:kern w:val="0"/>
                <w:sz w:val="24"/>
                <w:szCs w:val="24"/>
              </w:rPr>
            </w:pPr>
          </w:p>
        </w:tc>
      </w:tr>
      <w:tr w14:paraId="07FBED3D">
        <w:tblPrEx>
          <w:tblCellMar>
            <w:top w:w="0" w:type="dxa"/>
            <w:left w:w="108" w:type="dxa"/>
            <w:bottom w:w="0" w:type="dxa"/>
            <w:right w:w="108" w:type="dxa"/>
          </w:tblCellMar>
        </w:tblPrEx>
        <w:trPr>
          <w:trHeight w:val="435" w:hRule="atLeast"/>
        </w:trPr>
        <w:tc>
          <w:tcPr>
            <w:tcW w:w="437" w:type="dxa"/>
            <w:vMerge w:val="continue"/>
            <w:tcBorders>
              <w:top w:val="nil"/>
              <w:left w:val="single" w:color="auto" w:sz="4" w:space="0"/>
              <w:bottom w:val="single" w:color="000000" w:sz="4" w:space="0"/>
              <w:right w:val="single" w:color="000000" w:sz="4" w:space="0"/>
            </w:tcBorders>
            <w:noWrap w:val="0"/>
            <w:vAlign w:val="center"/>
          </w:tcPr>
          <w:p w14:paraId="6CEA0E8D">
            <w:pPr>
              <w:widowControl/>
              <w:jc w:val="left"/>
              <w:rPr>
                <w:rFonts w:ascii="宋体" w:hAnsi="宋体" w:cs="宋体"/>
                <w:color w:val="000000"/>
                <w:kern w:val="0"/>
                <w:sz w:val="24"/>
                <w:szCs w:val="24"/>
              </w:rPr>
            </w:pPr>
          </w:p>
        </w:tc>
        <w:tc>
          <w:tcPr>
            <w:tcW w:w="753" w:type="dxa"/>
            <w:vMerge w:val="continue"/>
            <w:tcBorders>
              <w:top w:val="nil"/>
              <w:left w:val="nil"/>
              <w:bottom w:val="single" w:color="000000" w:sz="4" w:space="0"/>
              <w:right w:val="single" w:color="000000" w:sz="4" w:space="0"/>
            </w:tcBorders>
            <w:noWrap w:val="0"/>
            <w:vAlign w:val="center"/>
          </w:tcPr>
          <w:p w14:paraId="0192BAC7">
            <w:pPr>
              <w:widowControl/>
              <w:jc w:val="left"/>
              <w:rPr>
                <w:rFonts w:ascii="宋体" w:hAnsi="宋体" w:cs="宋体"/>
                <w:color w:val="000000"/>
                <w:kern w:val="0"/>
                <w:sz w:val="24"/>
                <w:szCs w:val="24"/>
              </w:rPr>
            </w:pPr>
          </w:p>
        </w:tc>
        <w:tc>
          <w:tcPr>
            <w:tcW w:w="1078" w:type="dxa"/>
            <w:vMerge w:val="continue"/>
            <w:tcBorders>
              <w:top w:val="nil"/>
              <w:left w:val="nil"/>
              <w:bottom w:val="single" w:color="000000" w:sz="4" w:space="0"/>
              <w:right w:val="single" w:color="000000" w:sz="4" w:space="0"/>
            </w:tcBorders>
            <w:noWrap w:val="0"/>
            <w:vAlign w:val="center"/>
          </w:tcPr>
          <w:p w14:paraId="331533DA">
            <w:pPr>
              <w:widowControl/>
              <w:jc w:val="left"/>
              <w:rPr>
                <w:rFonts w:ascii="宋体" w:hAnsi="宋体" w:cs="宋体"/>
                <w:color w:val="000000"/>
                <w:kern w:val="0"/>
                <w:sz w:val="24"/>
                <w:szCs w:val="24"/>
              </w:rPr>
            </w:pPr>
          </w:p>
        </w:tc>
        <w:tc>
          <w:tcPr>
            <w:tcW w:w="2033" w:type="dxa"/>
            <w:tcBorders>
              <w:top w:val="single" w:color="000000" w:sz="4" w:space="0"/>
              <w:left w:val="nil"/>
              <w:bottom w:val="single" w:color="000000" w:sz="4" w:space="0"/>
              <w:right w:val="single" w:color="000000" w:sz="4" w:space="0"/>
            </w:tcBorders>
            <w:noWrap w:val="0"/>
            <w:vAlign w:val="center"/>
          </w:tcPr>
          <w:p w14:paraId="658DB197">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860" w:type="dxa"/>
            <w:tcBorders>
              <w:top w:val="nil"/>
              <w:left w:val="nil"/>
              <w:bottom w:val="single" w:color="000000" w:sz="4" w:space="0"/>
              <w:right w:val="single" w:color="000000" w:sz="4" w:space="0"/>
            </w:tcBorders>
            <w:noWrap w:val="0"/>
            <w:vAlign w:val="center"/>
          </w:tcPr>
          <w:p w14:paraId="6BDB185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68" w:type="dxa"/>
            <w:tcBorders>
              <w:top w:val="nil"/>
              <w:left w:val="nil"/>
              <w:bottom w:val="single" w:color="000000" w:sz="4" w:space="0"/>
              <w:right w:val="single" w:color="000000" w:sz="4" w:space="0"/>
            </w:tcBorders>
            <w:noWrap w:val="0"/>
            <w:vAlign w:val="center"/>
          </w:tcPr>
          <w:p w14:paraId="5CC0952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95" w:type="dxa"/>
            <w:tcBorders>
              <w:top w:val="single" w:color="000000" w:sz="4" w:space="0"/>
              <w:left w:val="nil"/>
              <w:bottom w:val="single" w:color="000000" w:sz="4" w:space="0"/>
              <w:right w:val="single" w:color="000000" w:sz="4" w:space="0"/>
            </w:tcBorders>
            <w:noWrap w:val="0"/>
            <w:vAlign w:val="center"/>
          </w:tcPr>
          <w:p w14:paraId="06018BA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single" w:color="000000" w:sz="4" w:space="0"/>
              <w:left w:val="nil"/>
              <w:bottom w:val="single" w:color="000000" w:sz="4" w:space="0"/>
              <w:right w:val="single" w:color="000000" w:sz="4" w:space="0"/>
            </w:tcBorders>
            <w:noWrap w:val="0"/>
            <w:vAlign w:val="center"/>
          </w:tcPr>
          <w:p w14:paraId="509AF32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1CCA871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00AE14C4">
            <w:pPr>
              <w:widowControl/>
              <w:jc w:val="left"/>
              <w:rPr>
                <w:kern w:val="0"/>
                <w:sz w:val="24"/>
                <w:szCs w:val="24"/>
              </w:rPr>
            </w:pPr>
          </w:p>
        </w:tc>
      </w:tr>
      <w:tr w14:paraId="501B8B9B">
        <w:tblPrEx>
          <w:tblCellMar>
            <w:top w:w="0" w:type="dxa"/>
            <w:left w:w="108" w:type="dxa"/>
            <w:bottom w:w="0" w:type="dxa"/>
            <w:right w:w="108" w:type="dxa"/>
          </w:tblCellMar>
        </w:tblPrEx>
        <w:trPr>
          <w:trHeight w:val="506" w:hRule="atLeast"/>
        </w:trPr>
        <w:tc>
          <w:tcPr>
            <w:tcW w:w="5929" w:type="dxa"/>
            <w:gridSpan w:val="6"/>
            <w:tcBorders>
              <w:top w:val="single" w:color="000000" w:sz="4" w:space="0"/>
              <w:left w:val="single" w:color="000000" w:sz="4" w:space="0"/>
              <w:bottom w:val="single" w:color="000000" w:sz="4" w:space="0"/>
              <w:right w:val="single" w:color="000000" w:sz="4" w:space="0"/>
            </w:tcBorders>
            <w:noWrap w:val="0"/>
            <w:vAlign w:val="center"/>
          </w:tcPr>
          <w:p w14:paraId="05A739DA">
            <w:pPr>
              <w:widowControl/>
              <w:jc w:val="center"/>
              <w:rPr>
                <w:rFonts w:ascii="宋体" w:hAnsi="宋体" w:cs="宋体"/>
                <w:color w:val="000000"/>
                <w:kern w:val="0"/>
                <w:sz w:val="24"/>
                <w:szCs w:val="24"/>
              </w:rPr>
            </w:pPr>
            <w:r>
              <w:rPr>
                <w:rFonts w:hint="eastAsia" w:ascii="宋体" w:hAnsi="宋体" w:cs="宋体"/>
                <w:color w:val="000000"/>
                <w:kern w:val="0"/>
                <w:sz w:val="24"/>
                <w:szCs w:val="24"/>
              </w:rPr>
              <w:t>总分</w:t>
            </w:r>
          </w:p>
        </w:tc>
        <w:tc>
          <w:tcPr>
            <w:tcW w:w="895" w:type="dxa"/>
            <w:tcBorders>
              <w:top w:val="single" w:color="000000" w:sz="4" w:space="0"/>
              <w:left w:val="nil"/>
              <w:bottom w:val="single" w:color="000000" w:sz="4" w:space="0"/>
              <w:right w:val="single" w:color="000000" w:sz="4" w:space="0"/>
            </w:tcBorders>
            <w:noWrap w:val="0"/>
            <w:vAlign w:val="center"/>
          </w:tcPr>
          <w:p w14:paraId="1B411359">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689" w:type="dxa"/>
            <w:tcBorders>
              <w:top w:val="single" w:color="000000" w:sz="4" w:space="0"/>
              <w:left w:val="nil"/>
              <w:bottom w:val="single" w:color="000000" w:sz="4" w:space="0"/>
              <w:right w:val="single" w:color="000000" w:sz="4" w:space="0"/>
            </w:tcBorders>
            <w:noWrap w:val="0"/>
            <w:vAlign w:val="center"/>
          </w:tcPr>
          <w:p w14:paraId="2653CCF9">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100</w:t>
            </w:r>
            <w:r>
              <w:rPr>
                <w:rFonts w:hint="eastAsia" w:ascii="宋体" w:hAnsi="宋体" w:cs="宋体"/>
                <w:color w:val="000000"/>
                <w:kern w:val="0"/>
                <w:sz w:val="24"/>
                <w:szCs w:val="24"/>
              </w:rPr>
              <w:t>　</w:t>
            </w:r>
          </w:p>
        </w:tc>
        <w:tc>
          <w:tcPr>
            <w:tcW w:w="1109" w:type="dxa"/>
            <w:tcBorders>
              <w:top w:val="single" w:color="000000" w:sz="4" w:space="0"/>
              <w:left w:val="nil"/>
              <w:bottom w:val="single" w:color="000000" w:sz="4" w:space="0"/>
              <w:right w:val="single" w:color="000000" w:sz="4" w:space="0"/>
            </w:tcBorders>
            <w:noWrap w:val="0"/>
            <w:vAlign w:val="center"/>
          </w:tcPr>
          <w:p w14:paraId="6BC79BD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36" w:type="dxa"/>
            <w:noWrap w:val="0"/>
            <w:vAlign w:val="center"/>
          </w:tcPr>
          <w:p w14:paraId="63508B02">
            <w:pPr>
              <w:widowControl/>
              <w:jc w:val="left"/>
              <w:rPr>
                <w:kern w:val="0"/>
                <w:sz w:val="24"/>
                <w:szCs w:val="24"/>
              </w:rPr>
            </w:pPr>
          </w:p>
        </w:tc>
      </w:tr>
    </w:tbl>
    <w:p w14:paraId="5F970150">
      <w:pPr>
        <w:widowControl/>
        <w:spacing w:line="576" w:lineRule="exact"/>
        <w:jc w:val="left"/>
        <w:rPr>
          <w:rFonts w:hint="default" w:ascii="Times New Roman" w:hAnsi="Times New Roman" w:eastAsia="仿宋_GB2312"/>
          <w:color w:val="000000"/>
          <w:kern w:val="0"/>
          <w:sz w:val="31"/>
          <w:szCs w:val="31"/>
          <w:lang w:val="en-US" w:eastAsia="zh-CN"/>
        </w:rPr>
      </w:pPr>
    </w:p>
    <w:p w14:paraId="47356CB3">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楷体_GB2312" w:cs="Times New Roman"/>
          <w:b/>
          <w:color w:val="000000"/>
          <w:kern w:val="0"/>
          <w:szCs w:val="32"/>
        </w:rPr>
      </w:pPr>
      <w:r>
        <w:rPr>
          <w:rFonts w:hint="eastAsia" w:ascii="Times New Roman" w:hAnsi="Times New Roman" w:eastAsia="楷体_GB2312" w:cs="Times New Roman"/>
          <w:b/>
          <w:color w:val="000000"/>
          <w:kern w:val="0"/>
          <w:szCs w:val="32"/>
          <w:lang w:val="en-US" w:eastAsia="zh-CN"/>
        </w:rPr>
        <w:t>（三）</w:t>
      </w:r>
      <w:r>
        <w:rPr>
          <w:rFonts w:hint="default" w:ascii="Times New Roman" w:hAnsi="Times New Roman" w:eastAsia="楷体_GB2312" w:cs="Times New Roman"/>
          <w:b/>
          <w:color w:val="000000"/>
          <w:kern w:val="0"/>
          <w:szCs w:val="32"/>
        </w:rPr>
        <w:t>部门决算中整体支出绩效自评结果。</w:t>
      </w:r>
    </w:p>
    <w:p w14:paraId="2D9E035C">
      <w:pPr>
        <w:ind w:firstLine="640" w:firstLineChars="200"/>
        <w:rPr>
          <w:rFonts w:ascii="仿宋" w:hAnsi="仿宋" w:eastAsia="仿宋"/>
          <w:szCs w:val="32"/>
        </w:rPr>
      </w:pPr>
      <w:r>
        <w:rPr>
          <w:rFonts w:hint="eastAsia" w:ascii="仿宋" w:hAnsi="仿宋" w:eastAsia="仿宋" w:cs="仿宋"/>
          <w:szCs w:val="32"/>
        </w:rPr>
        <w:t>2019年</w:t>
      </w:r>
      <w:r>
        <w:rPr>
          <w:rFonts w:hint="eastAsia" w:ascii="仿宋" w:hAnsi="仿宋" w:eastAsia="仿宋" w:cs="仿宋"/>
          <w:szCs w:val="32"/>
          <w:lang w:val="en-US" w:eastAsia="zh-CN"/>
        </w:rPr>
        <w:t>部门决算中整体支出为135.8万元，其中机构运行78.67万元，科普活动51.40万元，青少年科技活动0.67万元，其他科学技术普及支出</w:t>
      </w:r>
      <w:r>
        <w:rPr>
          <w:rFonts w:hint="eastAsia" w:ascii="仿宋" w:hAnsi="仿宋" w:eastAsia="仿宋"/>
          <w:szCs w:val="32"/>
          <w:lang w:val="en-US" w:eastAsia="zh-CN"/>
        </w:rPr>
        <w:t>5.13万元。</w:t>
      </w:r>
      <w:r>
        <w:rPr>
          <w:rFonts w:hint="eastAsia" w:ascii="仿宋" w:hAnsi="仿宋" w:eastAsia="仿宋"/>
          <w:szCs w:val="32"/>
        </w:rPr>
        <w:t>部门整体支出</w:t>
      </w:r>
      <w:r>
        <w:rPr>
          <w:rFonts w:ascii="仿宋" w:hAnsi="仿宋" w:eastAsia="仿宋"/>
          <w:szCs w:val="32"/>
        </w:rPr>
        <w:t>评价得</w:t>
      </w:r>
      <w:r>
        <w:rPr>
          <w:rFonts w:hint="eastAsia" w:ascii="仿宋" w:hAnsi="仿宋" w:eastAsia="仿宋"/>
          <w:szCs w:val="32"/>
        </w:rPr>
        <w:t>100分，评价</w:t>
      </w:r>
      <w:r>
        <w:rPr>
          <w:rFonts w:ascii="仿宋" w:hAnsi="仿宋" w:eastAsia="仿宋"/>
          <w:szCs w:val="32"/>
        </w:rPr>
        <w:t>结果为</w:t>
      </w:r>
      <w:r>
        <w:rPr>
          <w:rFonts w:hint="eastAsia" w:ascii="仿宋" w:hAnsi="仿宋" w:eastAsia="仿宋"/>
          <w:szCs w:val="32"/>
        </w:rPr>
        <w:t>优</w:t>
      </w:r>
      <w:r>
        <w:rPr>
          <w:rFonts w:ascii="仿宋" w:hAnsi="仿宋" w:eastAsia="仿宋"/>
          <w:szCs w:val="32"/>
        </w:rPr>
        <w:t>。</w:t>
      </w:r>
    </w:p>
    <w:p w14:paraId="480E27D2">
      <w:pPr>
        <w:ind w:firstLine="640" w:firstLineChars="200"/>
        <w:rPr>
          <w:rFonts w:hint="eastAsia" w:ascii="Times New Roman" w:hAnsi="Times New Roman" w:eastAsia="楷体_GB2312" w:cs="Times New Roman"/>
          <w:b w:val="0"/>
          <w:bCs/>
          <w:color w:val="000000"/>
          <w:kern w:val="0"/>
          <w:szCs w:val="32"/>
          <w:lang w:val="en-US" w:eastAsia="zh-CN"/>
        </w:rPr>
      </w:pPr>
      <w:r>
        <w:rPr>
          <w:rFonts w:hint="eastAsia" w:ascii="仿宋" w:hAnsi="仿宋" w:eastAsia="仿宋"/>
          <w:szCs w:val="32"/>
          <w:lang w:val="en-US" w:eastAsia="zh-CN"/>
        </w:rPr>
        <w:t>今后</w:t>
      </w:r>
      <w:r>
        <w:rPr>
          <w:rFonts w:hint="eastAsia" w:ascii="仿宋" w:hAnsi="仿宋" w:eastAsia="仿宋"/>
          <w:szCs w:val="32"/>
        </w:rPr>
        <w:t>在预算编制过程中科学性有待提高，年初编报预算主要依据是往年的基数，对当年的一些工作的安排规划</w:t>
      </w:r>
      <w:r>
        <w:rPr>
          <w:rFonts w:hint="eastAsia" w:ascii="仿宋" w:hAnsi="仿宋" w:eastAsia="仿宋"/>
          <w:szCs w:val="32"/>
          <w:lang w:val="en-US" w:eastAsia="zh-CN"/>
        </w:rPr>
        <w:t>还需更</w:t>
      </w:r>
      <w:r>
        <w:rPr>
          <w:rFonts w:hint="eastAsia" w:ascii="仿宋" w:hAnsi="仿宋" w:eastAsia="仿宋"/>
          <w:szCs w:val="32"/>
        </w:rPr>
        <w:t>细致。</w:t>
      </w:r>
    </w:p>
    <w:p w14:paraId="16277957">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color w:val="000000"/>
          <w:kern w:val="0"/>
          <w:szCs w:val="32"/>
        </w:rPr>
        <w:t>十一、其他重要事项说明</w:t>
      </w:r>
    </w:p>
    <w:p w14:paraId="7C95468F">
      <w:pPr>
        <w:widowControl/>
        <w:ind w:firstLine="643" w:firstLineChars="200"/>
        <w:jc w:val="left"/>
        <w:rPr>
          <w:rFonts w:hint="default" w:ascii="Times New Roman" w:hAnsi="Times New Roman" w:cs="Times New Roman"/>
        </w:rPr>
      </w:pPr>
      <w:r>
        <w:rPr>
          <w:rFonts w:hint="default" w:ascii="Times New Roman" w:hAnsi="Times New Roman" w:eastAsia="楷体_GB2312" w:cs="Times New Roman"/>
          <w:b/>
          <w:color w:val="000000"/>
          <w:kern w:val="0"/>
          <w:szCs w:val="32"/>
        </w:rPr>
        <w:t xml:space="preserve">（一）机关运行经费支出情况说明。 </w:t>
      </w:r>
    </w:p>
    <w:p w14:paraId="768B465F">
      <w:pPr>
        <w:widowControl/>
        <w:ind w:firstLine="930" w:firstLineChars="300"/>
        <w:jc w:val="left"/>
        <w:rPr>
          <w:rFonts w:hint="default" w:ascii="Times New Roman" w:hAnsi="Times New Roman" w:eastAsia="楷体_GB2312" w:cs="Times New Roman"/>
          <w:b/>
          <w:color w:val="000000"/>
          <w:kern w:val="0"/>
          <w:szCs w:val="32"/>
        </w:rPr>
      </w:pPr>
      <w:r>
        <w:rPr>
          <w:rFonts w:hint="default" w:ascii="Times New Roman" w:hAnsi="Times New Roman" w:eastAsia="仿宋_GB2312" w:cs="Times New Roman"/>
          <w:color w:val="000000"/>
          <w:kern w:val="0"/>
          <w:sz w:val="31"/>
          <w:szCs w:val="31"/>
        </w:rPr>
        <w:t>2019年度机关运行经费</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46.2</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78.6</w:t>
      </w:r>
      <w:r>
        <w:rPr>
          <w:rFonts w:hint="default" w:ascii="Times New Roman" w:hAnsi="Times New Roman" w:eastAsia="仿宋_GB2312" w:cs="Times New Roman"/>
          <w:color w:val="000000"/>
          <w:kern w:val="0"/>
          <w:szCs w:val="32"/>
        </w:rPr>
        <w:t>万元，完成预算的</w:t>
      </w:r>
      <w:r>
        <w:rPr>
          <w:rFonts w:hint="eastAsia" w:ascii="Times New Roman" w:hAnsi="Times New Roman" w:eastAsia="仿宋_GB2312" w:cs="Times New Roman"/>
          <w:color w:val="000000"/>
          <w:kern w:val="0"/>
          <w:szCs w:val="32"/>
          <w:lang w:val="en-US" w:eastAsia="zh-CN"/>
        </w:rPr>
        <w:t>170</w:t>
      </w:r>
      <w:r>
        <w:rPr>
          <w:rFonts w:hint="default" w:ascii="Times New Roman" w:hAnsi="Times New Roman" w:eastAsia="仿宋_GB2312" w:cs="Times New Roman"/>
          <w:color w:val="000000"/>
          <w:kern w:val="0"/>
          <w:szCs w:val="32"/>
        </w:rPr>
        <w:t>%。决算数较预算数</w:t>
      </w:r>
      <w:r>
        <w:rPr>
          <w:rFonts w:hint="eastAsia" w:ascii="Times New Roman" w:hAnsi="Times New Roman" w:eastAsia="仿宋_GB2312" w:cs="Times New Roman"/>
          <w:color w:val="000000"/>
          <w:kern w:val="0"/>
          <w:szCs w:val="32"/>
          <w:lang w:val="en-US" w:eastAsia="zh-CN"/>
        </w:rPr>
        <w:t>增加了32.4</w:t>
      </w:r>
      <w:r>
        <w:rPr>
          <w:rFonts w:hint="default" w:ascii="Times New Roman" w:hAnsi="Times New Roman" w:eastAsia="仿宋_GB2312" w:cs="Times New Roman"/>
          <w:color w:val="000000"/>
          <w:kern w:val="0"/>
          <w:szCs w:val="32"/>
        </w:rPr>
        <w:t>万元，主要原因是</w:t>
      </w:r>
      <w:r>
        <w:rPr>
          <w:rFonts w:hint="eastAsia" w:ascii="Times New Roman" w:hAnsi="Times New Roman" w:eastAsia="仿宋_GB2312" w:cs="Times New Roman"/>
          <w:color w:val="000000"/>
          <w:kern w:val="0"/>
          <w:szCs w:val="32"/>
          <w:lang w:val="en-US" w:eastAsia="zh-CN"/>
        </w:rPr>
        <w:t>人员经费支出增加</w:t>
      </w:r>
      <w:r>
        <w:rPr>
          <w:rFonts w:hint="default" w:ascii="Times New Roman" w:hAnsi="Times New Roman" w:eastAsia="仿宋_GB2312" w:cs="Times New Roman"/>
          <w:color w:val="000000"/>
          <w:kern w:val="0"/>
          <w:szCs w:val="32"/>
        </w:rPr>
        <w:t>。</w:t>
      </w:r>
    </w:p>
    <w:p w14:paraId="3F344F7B">
      <w:pPr>
        <w:widowControl/>
        <w:ind w:firstLine="640" w:firstLineChars="200"/>
        <w:jc w:val="left"/>
        <w:rPr>
          <w:rFonts w:hint="default" w:ascii="Times New Roman" w:hAnsi="Times New Roman" w:eastAsia="楷体_GB2312" w:cs="Times New Roman"/>
          <w:b/>
          <w:color w:val="000000"/>
          <w:kern w:val="0"/>
          <w:szCs w:val="32"/>
        </w:rPr>
      </w:pPr>
      <w:r>
        <w:rPr>
          <w:rFonts w:hint="eastAsia"/>
          <w:lang w:val="en-US" w:eastAsia="zh-CN"/>
        </w:rPr>
        <w:t xml:space="preserve">  </w:t>
      </w:r>
      <w:r>
        <w:drawing>
          <wp:inline distT="0" distB="0" distL="114300" distR="114300">
            <wp:extent cx="3938270" cy="1885315"/>
            <wp:effectExtent l="4445" t="4445" r="6985" b="1524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72CDAF">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（二）政府采购支出情况说明。</w:t>
      </w:r>
    </w:p>
    <w:p w14:paraId="31839F2B">
      <w:pPr>
        <w:ind w:firstLine="640"/>
        <w:rPr>
          <w:rFonts w:hint="default" w:ascii="Times New Roman" w:hAnsi="Times New Roman" w:eastAsia="仿宋_GB2312" w:cs="Times New Roman"/>
          <w:szCs w:val="32"/>
        </w:rPr>
      </w:pPr>
      <w:r>
        <w:rPr>
          <w:rFonts w:hint="default" w:ascii="Times New Roman" w:hAnsi="Times New Roman" w:eastAsia="仿宋_GB2312" w:cs="Times New Roman"/>
          <w:szCs w:val="32"/>
        </w:rPr>
        <w:t>2019年度本部门政府采购支出总额共</w:t>
      </w:r>
      <w:r>
        <w:rPr>
          <w:rFonts w:hint="eastAsia" w:ascii="Times New Roman" w:hAnsi="Times New Roman" w:eastAsia="仿宋_GB2312" w:cs="Times New Roman"/>
          <w:szCs w:val="32"/>
          <w:lang w:val="en-US" w:eastAsia="zh-CN"/>
        </w:rPr>
        <w:t>0.95</w:t>
      </w:r>
      <w:r>
        <w:rPr>
          <w:rFonts w:hint="default" w:ascii="Times New Roman" w:hAnsi="Times New Roman" w:eastAsia="仿宋_GB2312" w:cs="Times New Roman"/>
          <w:szCs w:val="32"/>
        </w:rPr>
        <w:t>万元，其中政府采购货物类支出</w:t>
      </w:r>
      <w:r>
        <w:rPr>
          <w:rFonts w:hint="eastAsia" w:ascii="Times New Roman" w:hAnsi="Times New Roman" w:eastAsia="仿宋_GB2312" w:cs="Times New Roman"/>
          <w:szCs w:val="32"/>
          <w:lang w:val="en-US" w:eastAsia="zh-CN"/>
        </w:rPr>
        <w:t>0.95</w:t>
      </w:r>
      <w:r>
        <w:rPr>
          <w:rFonts w:hint="default" w:ascii="Times New Roman" w:hAnsi="Times New Roman" w:eastAsia="仿宋_GB2312" w:cs="Times New Roman"/>
          <w:szCs w:val="32"/>
        </w:rPr>
        <w:t>万元、政府采购服务类支出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万元、政府采购工程类支出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w:t>
      </w:r>
    </w:p>
    <w:p w14:paraId="364F9D72">
      <w:pPr>
        <w:ind w:firstLine="640"/>
        <w:rPr>
          <w:rFonts w:hint="default" w:ascii="Times New Roman" w:hAnsi="Times New Roman" w:eastAsia="仿宋_GB2312" w:cs="Times New Roman"/>
          <w:szCs w:val="32"/>
        </w:rPr>
      </w:pPr>
      <w:r>
        <w:drawing>
          <wp:inline distT="0" distB="0" distL="114300" distR="114300">
            <wp:extent cx="3968750" cy="1924685"/>
            <wp:effectExtent l="5080" t="4445" r="13970"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0ADAD">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（三）国有资产占用及购置情况说明。</w:t>
      </w:r>
    </w:p>
    <w:p w14:paraId="347513D1">
      <w:pPr>
        <w:ind w:firstLine="640"/>
        <w:rPr>
          <w:rFonts w:hint="default" w:ascii="Times New Roman" w:hAnsi="Times New Roman" w:eastAsia="黑体" w:cs="Times New Roman"/>
          <w:color w:val="000000"/>
          <w:kern w:val="0"/>
          <w:sz w:val="40"/>
          <w:szCs w:val="40"/>
        </w:rPr>
      </w:pPr>
      <w:r>
        <w:rPr>
          <w:rFonts w:hint="default" w:ascii="Times New Roman" w:hAnsi="Times New Roman" w:eastAsia="仿宋_GB2312" w:cs="Times New Roman"/>
          <w:szCs w:val="32"/>
        </w:rPr>
        <w:t>截至2019年末，本部门机关及所属单位共有车辆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台。2019年当年购置车辆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辆；购置单价50万元以上的通用设备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台；购置单价100万元以上的专用设备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w:t>
      </w:r>
    </w:p>
    <w:p w14:paraId="4A650E5E">
      <w:pPr>
        <w:pStyle w:val="18"/>
        <w:ind w:left="1760" w:firstLine="400" w:firstLineChars="100"/>
        <w:jc w:val="both"/>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第三部分 专业名词解释</w:t>
      </w:r>
    </w:p>
    <w:p w14:paraId="3BB038EA">
      <w:pPr>
        <w:widowControl/>
        <w:ind w:firstLine="640" w:firstLineChars="200"/>
        <w:jc w:val="left"/>
        <w:rPr>
          <w:rFonts w:hint="default" w:ascii="Times New Roman" w:hAnsi="Times New Roman" w:eastAsia="仿宋_GB2312" w:cs="Times New Roman"/>
          <w:szCs w:val="32"/>
        </w:rPr>
      </w:pPr>
    </w:p>
    <w:p w14:paraId="2A95C53C">
      <w:pPr>
        <w:widowControl/>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文字说明。专业名词解释可由部门根据业务内容等自行选择。</w:t>
      </w:r>
    </w:p>
    <w:p w14:paraId="7546D877">
      <w:pPr>
        <w:widowControl/>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示例：</w:t>
      </w:r>
    </w:p>
    <w:p w14:paraId="09F510A9">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1.基本支出</w:t>
      </w:r>
      <w:r>
        <w:rPr>
          <w:rFonts w:hint="default" w:ascii="Times New Roman" w:hAnsi="Times New Roman" w:eastAsia="仿宋_GB2312" w:cs="Times New Roman"/>
          <w:szCs w:val="32"/>
        </w:rPr>
        <w:t>：指为保障机构正常运转、完成日常工作任务而发生的各项支出。</w:t>
      </w:r>
    </w:p>
    <w:p w14:paraId="24521A30">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2.项目支出</w:t>
      </w:r>
      <w:r>
        <w:rPr>
          <w:rFonts w:hint="default" w:ascii="Times New Roman" w:hAnsi="Times New Roman" w:eastAsia="仿宋_GB2312" w:cs="Times New Roman"/>
          <w:szCs w:val="32"/>
        </w:rPr>
        <w:t>：指单位为完成特定的行政工作任务或事业发展目标所发生的各项支出。</w:t>
      </w:r>
    </w:p>
    <w:p w14:paraId="2EBCD3B3">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3.“三公”经费</w:t>
      </w:r>
      <w:r>
        <w:rPr>
          <w:rFonts w:hint="default" w:ascii="Times New Roman" w:hAnsi="Times New Roman" w:eastAsia="仿宋_GB2312" w:cs="Times New Roman"/>
          <w:szCs w:val="32"/>
        </w:rPr>
        <w:t>：指部门使用一般公共预算财政拨款安排的因公出国（境）费、公务用车购置及运行费和公务接待费支出。</w:t>
      </w:r>
    </w:p>
    <w:p w14:paraId="2BDF5304">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4.财政拨款收入</w:t>
      </w:r>
      <w:r>
        <w:rPr>
          <w:rFonts w:hint="default" w:ascii="Times New Roman" w:hAnsi="Times New Roman" w:eastAsia="仿宋_GB2312" w:cs="Times New Roman"/>
          <w:szCs w:val="32"/>
        </w:rPr>
        <w:t>：指本级财政当年拨付的资金。</w:t>
      </w:r>
    </w:p>
    <w:p w14:paraId="603A088C">
      <w:pPr>
        <w:ind w:firstLine="640"/>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b/>
          <w:bCs/>
          <w:szCs w:val="32"/>
        </w:rPr>
        <w:t>5.调整预算数：</w:t>
      </w:r>
      <w:r>
        <w:rPr>
          <w:rFonts w:hint="default" w:ascii="Times New Roman" w:hAnsi="Times New Roman" w:eastAsia="仿宋_GB2312" w:cs="Times New Roman"/>
          <w:bCs/>
          <w:szCs w:val="32"/>
        </w:rPr>
        <w:t>填列经调整后的全年预算数，包括年初预算数和预算调增调减数，即：调整预算数＝年初预算数＋预算调增数－预算调减数。</w:t>
      </w:r>
    </w:p>
    <w:p w14:paraId="17575684">
      <w:pPr>
        <w:widowControl/>
        <w:ind w:firstLine="620" w:firstLineChars="200"/>
        <w:jc w:val="left"/>
        <w:rPr>
          <w:rFonts w:hint="default" w:ascii="Times New Roman" w:hAnsi="Times New Roman" w:eastAsia="仿宋_GB2312" w:cs="Times New Roman"/>
          <w:color w:val="000000"/>
          <w:kern w:val="0"/>
          <w:sz w:val="31"/>
          <w:szCs w:val="31"/>
        </w:rPr>
      </w:pPr>
    </w:p>
    <w:p w14:paraId="0F151F9B">
      <w:pPr>
        <w:widowControl/>
        <w:jc w:val="left"/>
        <w:rPr>
          <w:rFonts w:hint="default" w:ascii="Times New Roman" w:hAnsi="Times New Roman" w:eastAsia="楷体" w:cs="Times New Roman"/>
          <w:szCs w:val="32"/>
        </w:rPr>
      </w:pPr>
    </w:p>
    <w:p w14:paraId="19D0A6FF">
      <w:pPr>
        <w:widowControl/>
        <w:jc w:val="left"/>
        <w:rPr>
          <w:rFonts w:hint="default" w:ascii="Times New Roman" w:hAnsi="Times New Roman" w:eastAsia="楷体" w:cs="Times New Roman"/>
          <w:szCs w:val="32"/>
        </w:rPr>
      </w:pPr>
    </w:p>
    <w:p w14:paraId="249C92D7">
      <w:pPr>
        <w:widowControl/>
        <w:jc w:val="left"/>
        <w:rPr>
          <w:rFonts w:hint="default" w:ascii="Times New Roman" w:hAnsi="Times New Roman" w:eastAsia="楷体" w:cs="Times New Roman"/>
          <w:szCs w:val="32"/>
        </w:rPr>
      </w:pPr>
    </w:p>
    <w:p w14:paraId="7A9B521F">
      <w:pPr>
        <w:rPr>
          <w:rFonts w:hint="default" w:ascii="Times New Roman" w:hAnsi="Times New Roman" w:cs="Times New Roman"/>
        </w:rPr>
      </w:pPr>
    </w:p>
    <w:p w14:paraId="353E1CCA">
      <w:pPr>
        <w:ind w:firstLine="640" w:firstLineChars="200"/>
        <w:rPr>
          <w:rFonts w:ascii="仿宋" w:hAnsi="仿宋" w:eastAsia="仿宋"/>
          <w:szCs w:val="32"/>
        </w:rPr>
      </w:pPr>
    </w:p>
    <w:p w14:paraId="1B626EA9">
      <w:pPr>
        <w:ind w:firstLine="640" w:firstLineChars="200"/>
        <w:rPr>
          <w:rFonts w:ascii="仿宋" w:hAnsi="仿宋" w:eastAsia="仿宋"/>
          <w:szCs w:val="32"/>
        </w:rPr>
      </w:pPr>
    </w:p>
    <w:p w14:paraId="46F61EBB">
      <w:pPr>
        <w:ind w:firstLine="640" w:firstLineChars="200"/>
        <w:rPr>
          <w:rFonts w:ascii="仿宋" w:hAnsi="仿宋" w:eastAsia="仿宋"/>
          <w:szCs w:val="32"/>
        </w:rPr>
      </w:pPr>
    </w:p>
    <w:p w14:paraId="50003B5B">
      <w:pPr>
        <w:rPr>
          <w:rFonts w:ascii="仿宋" w:hAnsi="仿宋" w:eastAsia="仿宋"/>
          <w:szCs w:val="32"/>
        </w:rPr>
      </w:pPr>
    </w:p>
    <w:p w14:paraId="0087B242">
      <w:pPr>
        <w:ind w:firstLine="640" w:firstLineChars="200"/>
        <w:rPr>
          <w:rFonts w:ascii="仿宋" w:hAnsi="仿宋" w:eastAsia="仿宋"/>
          <w:szCs w:val="32"/>
        </w:rPr>
      </w:pPr>
    </w:p>
    <w:p w14:paraId="532752C3">
      <w:pPr>
        <w:ind w:firstLine="640" w:firstLineChars="200"/>
        <w:rPr>
          <w:rFonts w:ascii="仿宋" w:hAnsi="仿宋" w:eastAsia="仿宋"/>
          <w:szCs w:val="32"/>
        </w:rPr>
      </w:pPr>
    </w:p>
    <w:p w14:paraId="4D752621">
      <w:pPr>
        <w:ind w:firstLine="640" w:firstLineChars="200"/>
        <w:rPr>
          <w:rFonts w:ascii="仿宋" w:hAnsi="仿宋" w:eastAsia="仿宋"/>
          <w:szCs w:val="32"/>
        </w:rPr>
      </w:pPr>
    </w:p>
    <w:p w14:paraId="2FDEA486">
      <w:pPr>
        <w:widowControl/>
        <w:jc w:val="center"/>
        <w:rPr>
          <w:rFonts w:hint="default" w:ascii="Times New Roman" w:hAnsi="Times New Roman" w:eastAsia="仿宋_GB2312" w:cs="Times New Roman"/>
          <w:color w:val="000000"/>
          <w:kern w:val="0"/>
          <w:sz w:val="31"/>
          <w:szCs w:val="31"/>
        </w:rPr>
      </w:pPr>
    </w:p>
    <w:p w14:paraId="410E8CED">
      <w:pPr>
        <w:widowControl/>
        <w:jc w:val="left"/>
        <w:rPr>
          <w:rFonts w:hint="default" w:ascii="Times New Roman" w:hAnsi="Times New Roman" w:eastAsia="仿宋_GB2312" w:cs="Times New Roman"/>
          <w:color w:val="000000"/>
          <w:kern w:val="0"/>
          <w:sz w:val="31"/>
          <w:szCs w:val="31"/>
        </w:rPr>
        <w:sectPr>
          <w:footerReference r:id="rId3" w:type="default"/>
          <w:footerReference r:id="rId4" w:type="even"/>
          <w:pgSz w:w="11906" w:h="16838"/>
          <w:pgMar w:top="1440" w:right="1800" w:bottom="1440" w:left="1800" w:header="851" w:footer="992" w:gutter="0"/>
          <w:pgNumType w:fmt="decimal"/>
          <w:cols w:space="425" w:num="1"/>
          <w:docGrid w:type="lines" w:linePitch="435" w:charSpace="0"/>
        </w:sectPr>
      </w:pPr>
    </w:p>
    <w:p w14:paraId="29B6C791">
      <w:pPr>
        <w:widowControl/>
        <w:jc w:val="left"/>
        <w:rPr>
          <w:rFonts w:hint="default" w:ascii="Times New Roman" w:hAnsi="Times New Roman" w:eastAsia="仿宋_GB2312" w:cs="Times New Roman"/>
          <w:color w:val="000000"/>
          <w:kern w:val="0"/>
          <w:sz w:val="31"/>
          <w:szCs w:val="31"/>
        </w:rPr>
      </w:pPr>
    </w:p>
    <w:p w14:paraId="7594C55F">
      <w:pPr>
        <w:widowControl/>
        <w:jc w:val="left"/>
        <w:rPr>
          <w:rFonts w:hint="default" w:ascii="Times New Roman" w:hAnsi="Times New Roman" w:eastAsia="仿宋_GB2312" w:cs="Times New Roman"/>
          <w:color w:val="000000"/>
          <w:kern w:val="0"/>
          <w:sz w:val="31"/>
          <w:szCs w:val="31"/>
        </w:rPr>
      </w:pPr>
    </w:p>
    <w:p w14:paraId="5AD49040">
      <w:pPr>
        <w:rPr>
          <w:rFonts w:hint="default" w:ascii="Times New Roman" w:hAnsi="Times New Roman" w:eastAsia="黑体" w:cs="Times New Roman"/>
          <w:color w:val="000000"/>
          <w:kern w:val="0"/>
          <w:szCs w:val="32"/>
        </w:rPr>
      </w:pPr>
    </w:p>
    <w:p w14:paraId="571A5EA4">
      <w:pPr>
        <w:ind w:firstLine="640" w:firstLineChars="200"/>
        <w:rPr>
          <w:rFonts w:hint="default" w:ascii="Times New Roman" w:hAnsi="Times New Roman" w:eastAsia="黑体" w:cs="Times New Roman"/>
          <w:color w:val="000000"/>
          <w:kern w:val="0"/>
          <w:szCs w:val="32"/>
        </w:rPr>
      </w:pPr>
    </w:p>
    <w:p w14:paraId="0745A388">
      <w:pPr>
        <w:rPr>
          <w:rFonts w:hint="default" w:ascii="Times New Roman" w:hAnsi="Times New Roman" w:eastAsia="黑体" w:cs="Times New Roman"/>
          <w:color w:val="000000"/>
          <w:kern w:val="0"/>
          <w:szCs w:val="32"/>
        </w:rPr>
      </w:pPr>
    </w:p>
    <w:p w14:paraId="3A58404B">
      <w:pPr>
        <w:rPr>
          <w:rFonts w:hint="default" w:ascii="Times New Roman" w:hAnsi="Times New Roman" w:eastAsia="黑体" w:cs="Times New Roman"/>
          <w:color w:val="000000"/>
          <w:kern w:val="0"/>
          <w:szCs w:val="32"/>
        </w:rPr>
        <w:sectPr>
          <w:pgSz w:w="16838" w:h="11906" w:orient="landscape"/>
          <w:pgMar w:top="1800" w:right="1440" w:bottom="1800" w:left="1440" w:header="851" w:footer="992" w:gutter="0"/>
          <w:pgNumType w:fmt="decimal"/>
          <w:cols w:space="425" w:num="1"/>
          <w:docGrid w:type="lines" w:linePitch="312" w:charSpace="0"/>
        </w:sectPr>
      </w:pPr>
    </w:p>
    <w:p w14:paraId="15D67A8E">
      <w:pPr>
        <w:rPr>
          <w:rFonts w:hint="default" w:ascii="Times New Roman" w:hAnsi="Times New Roman" w:cs="Times New Roma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DF6B">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7057C2">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p w14:paraId="4F6F989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F0C3">
    <w:pPr>
      <w:pStyle w:val="3"/>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EA9EA5B">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C2F69C09"/>
    <w:multiLevelType w:val="singleLevel"/>
    <w:tmpl w:val="C2F69C09"/>
    <w:lvl w:ilvl="0" w:tentative="0">
      <w:start w:val="1"/>
      <w:numFmt w:val="chineseCounting"/>
      <w:suff w:val="nothing"/>
      <w:lvlText w:val="%1、"/>
      <w:lvlJc w:val="left"/>
      <w:rPr>
        <w:rFonts w:hint="eastAsia"/>
      </w:rPr>
    </w:lvl>
  </w:abstractNum>
  <w:abstractNum w:abstractNumId="2">
    <w:nsid w:val="59E8671A"/>
    <w:multiLevelType w:val="singleLevel"/>
    <w:tmpl w:val="59E8671A"/>
    <w:lvl w:ilvl="0" w:tentative="0">
      <w:start w:val="1"/>
      <w:numFmt w:val="chineseCounting"/>
      <w:suff w:val="nothing"/>
      <w:lvlText w:val="（%1）"/>
      <w:lvlJc w:val="left"/>
    </w:lvl>
  </w:abstractNum>
  <w:abstractNum w:abstractNumId="3">
    <w:nsid w:val="621E6012"/>
    <w:multiLevelType w:val="singleLevel"/>
    <w:tmpl w:val="621E6012"/>
    <w:lvl w:ilvl="0" w:tentative="0">
      <w:start w:val="1"/>
      <w:numFmt w:val="decimal"/>
      <w:lvlText w:val="%1."/>
      <w:lvlJc w:val="left"/>
      <w:pPr>
        <w:tabs>
          <w:tab w:val="left" w:pos="312"/>
        </w:tabs>
      </w:pPr>
    </w:lvl>
  </w:abstractNum>
  <w:abstractNum w:abstractNumId="4">
    <w:nsid w:val="7799971B"/>
    <w:multiLevelType w:val="singleLevel"/>
    <w:tmpl w:val="7799971B"/>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M5NzdmMGQ0NTQ5MzdiNTNlYWE5ZmI4NjQ5MjY2YzEifQ=="/>
  </w:docVars>
  <w:rsids>
    <w:rsidRoot w:val="20E506C4"/>
    <w:rsid w:val="00044686"/>
    <w:rsid w:val="000D2959"/>
    <w:rsid w:val="004C545D"/>
    <w:rsid w:val="005D35F6"/>
    <w:rsid w:val="0073773E"/>
    <w:rsid w:val="00A334A9"/>
    <w:rsid w:val="00A63F10"/>
    <w:rsid w:val="00BB3C32"/>
    <w:rsid w:val="00BC3163"/>
    <w:rsid w:val="019F735C"/>
    <w:rsid w:val="027D6C25"/>
    <w:rsid w:val="041213CE"/>
    <w:rsid w:val="07997F9B"/>
    <w:rsid w:val="086C1E64"/>
    <w:rsid w:val="152D2450"/>
    <w:rsid w:val="1AF22409"/>
    <w:rsid w:val="1D8B0C78"/>
    <w:rsid w:val="20B96E79"/>
    <w:rsid w:val="20E506C4"/>
    <w:rsid w:val="24094EDF"/>
    <w:rsid w:val="30DF4759"/>
    <w:rsid w:val="30E6645D"/>
    <w:rsid w:val="32622F87"/>
    <w:rsid w:val="353377C3"/>
    <w:rsid w:val="35B0628A"/>
    <w:rsid w:val="3669223E"/>
    <w:rsid w:val="37CA68BA"/>
    <w:rsid w:val="3B6674D8"/>
    <w:rsid w:val="3D904069"/>
    <w:rsid w:val="3F856087"/>
    <w:rsid w:val="3FCA23EC"/>
    <w:rsid w:val="424D60E4"/>
    <w:rsid w:val="42FA4769"/>
    <w:rsid w:val="43BC1030"/>
    <w:rsid w:val="47964FBE"/>
    <w:rsid w:val="4A1752A2"/>
    <w:rsid w:val="4A284959"/>
    <w:rsid w:val="4B18398F"/>
    <w:rsid w:val="52AC7AB3"/>
    <w:rsid w:val="54207C4C"/>
    <w:rsid w:val="596D661C"/>
    <w:rsid w:val="59E81A9B"/>
    <w:rsid w:val="5AEB0ED3"/>
    <w:rsid w:val="69A157A9"/>
    <w:rsid w:val="69F8657F"/>
    <w:rsid w:val="6B3B79EC"/>
    <w:rsid w:val="6F094735"/>
    <w:rsid w:val="73431FE5"/>
    <w:rsid w:val="778B0394"/>
    <w:rsid w:val="7B6D5E4A"/>
    <w:rsid w:val="7FDE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eastAsia" w:ascii="宋体" w:hAnsi="宋体" w:eastAsia="宋体" w:cs="宋体"/>
      <w:b/>
      <w:color w:val="000000"/>
      <w:sz w:val="32"/>
      <w:szCs w:val="32"/>
      <w:u w:val="none"/>
    </w:rPr>
  </w:style>
  <w:style w:type="character" w:customStyle="1" w:styleId="10">
    <w:name w:val="font91"/>
    <w:basedOn w:val="8"/>
    <w:qFormat/>
    <w:uiPriority w:val="0"/>
    <w:rPr>
      <w:rFonts w:hint="eastAsia" w:ascii="宋体" w:hAnsi="宋体" w:eastAsia="宋体" w:cs="宋体"/>
      <w:color w:val="000000"/>
      <w:sz w:val="32"/>
      <w:szCs w:val="32"/>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character" w:customStyle="1" w:styleId="12">
    <w:name w:val="font101"/>
    <w:basedOn w:val="8"/>
    <w:qFormat/>
    <w:uiPriority w:val="0"/>
    <w:rPr>
      <w:rFonts w:hint="eastAsia" w:ascii="宋体" w:hAnsi="宋体" w:eastAsia="宋体" w:cs="宋体"/>
      <w:color w:val="000000"/>
      <w:sz w:val="20"/>
      <w:szCs w:val="20"/>
      <w:u w:val="none"/>
    </w:rPr>
  </w:style>
  <w:style w:type="character" w:customStyle="1" w:styleId="13">
    <w:name w:val="font21"/>
    <w:basedOn w:val="8"/>
    <w:qFormat/>
    <w:uiPriority w:val="0"/>
    <w:rPr>
      <w:rFonts w:hint="eastAsia" w:ascii="宋体" w:hAnsi="宋体" w:eastAsia="宋体" w:cs="宋体"/>
      <w:color w:val="000000"/>
      <w:sz w:val="18"/>
      <w:szCs w:val="18"/>
      <w:u w:val="none"/>
    </w:rPr>
  </w:style>
  <w:style w:type="character" w:customStyle="1" w:styleId="14">
    <w:name w:val="font112"/>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4"/>
      <w:szCs w:val="24"/>
      <w:u w:val="none"/>
    </w:rPr>
  </w:style>
  <w:style w:type="character" w:customStyle="1" w:styleId="16">
    <w:name w:val="页眉 Char"/>
    <w:basedOn w:val="8"/>
    <w:link w:val="4"/>
    <w:qFormat/>
    <w:uiPriority w:val="0"/>
    <w:rPr>
      <w:rFonts w:ascii="Calibri" w:hAnsi="Calibri" w:eastAsia="方正仿宋简体"/>
      <w:kern w:val="2"/>
      <w:sz w:val="18"/>
      <w:szCs w:val="18"/>
    </w:rPr>
  </w:style>
  <w:style w:type="character" w:customStyle="1" w:styleId="17">
    <w:name w:val="页脚 Char"/>
    <w:basedOn w:val="8"/>
    <w:link w:val="3"/>
    <w:qFormat/>
    <w:uiPriority w:val="99"/>
    <w:rPr>
      <w:rFonts w:ascii="Calibri" w:hAnsi="Calibri" w:eastAsia="方正仿宋简体"/>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emf"/><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solidFill>
                  <a:schemeClr val="tx1"/>
                </a:solidFill>
              </a:rPr>
              <a:t>2019</a:t>
            </a:r>
            <a:r>
              <a:rPr altLang="en-US">
                <a:solidFill>
                  <a:schemeClr val="tx1"/>
                </a:solidFill>
              </a:rPr>
              <a:t>年部门人员情况</a:t>
            </a:r>
            <a:endParaRPr lang="en-US" altLang="en-US">
              <a:solidFill>
                <a:schemeClr val="tx1"/>
              </a:solidFill>
            </a:endParaRPr>
          </a:p>
        </c:rich>
      </c:tx>
      <c:layout/>
      <c:overlay val="0"/>
      <c:spPr>
        <a:noFill/>
        <a:ln>
          <a:noFill/>
        </a:ln>
        <a:effectLst/>
      </c:spPr>
    </c:title>
    <c:autoTitleDeleted val="0"/>
    <c:plotArea>
      <c:layout/>
      <c:pieChart>
        <c:varyColors val="1"/>
        <c:ser>
          <c:idx val="0"/>
          <c:order val="0"/>
          <c:spPr>
            <a:solidFill>
              <a:schemeClr val="accent2"/>
            </a:solidFill>
          </c:spPr>
          <c:explosion val="0"/>
          <c:dPt>
            <c:idx val="0"/>
            <c:bubble3D val="0"/>
            <c:explosion val="0"/>
            <c:spPr>
              <a:solidFill>
                <a:srgbClr val="00B0F0"/>
              </a:solidFill>
              <a:ln w="19050">
                <a:solidFill>
                  <a:schemeClr val="lt1"/>
                </a:solidFill>
              </a:ln>
              <a:effectLst/>
            </c:spPr>
          </c:dPt>
          <c:dPt>
            <c:idx val="1"/>
            <c:bubble3D val="0"/>
            <c:spPr>
              <a:gradFill>
                <a:gsLst>
                  <a:gs pos="0">
                    <a:srgbClr val="FE4444"/>
                  </a:gs>
                  <a:gs pos="100000">
                    <a:srgbClr val="832B2B"/>
                  </a:gs>
                </a:gsLst>
                <a:lin scaled="0"/>
              </a:gradFill>
              <a:ln w="19050">
                <a:solidFill>
                  <a:schemeClr val="lt1"/>
                </a:solidFill>
              </a:ln>
              <a:effectLst/>
            </c:spPr>
          </c:dPt>
          <c:dPt>
            <c:idx val="2"/>
            <c:bubble3D val="0"/>
            <c:spPr>
              <a:solidFill>
                <a:srgbClr val="FFC000"/>
              </a:solidFill>
              <a:ln w="19050">
                <a:solidFill>
                  <a:schemeClr val="lt1"/>
                </a:solidFill>
              </a:ln>
              <a:effectLst/>
            </c:spPr>
          </c:dPt>
          <c:dLbls>
            <c:delete val="1"/>
          </c:dLbls>
          <c:cat>
            <c:strRef>
              <c:f>'[新建 XLS 工作表.xls]Sheet1'!$B$4:$B$6</c:f>
              <c:strCache>
                <c:ptCount val="3"/>
                <c:pt idx="0">
                  <c:v>行政编制</c:v>
                </c:pt>
                <c:pt idx="1">
                  <c:v>实有行政人员</c:v>
                </c:pt>
                <c:pt idx="2">
                  <c:v>退休人员</c:v>
                </c:pt>
              </c:strCache>
            </c:strRef>
          </c:cat>
          <c:val>
            <c:numRef>
              <c:f>'[新建 XLS 工作表.xls]Sheet1'!$C$4:$C$6</c:f>
              <c:numCache>
                <c:formatCode>General</c:formatCode>
                <c:ptCount val="3"/>
                <c:pt idx="0">
                  <c:v>7</c:v>
                </c:pt>
                <c:pt idx="1">
                  <c:v>3</c:v>
                </c:pt>
                <c:pt idx="2">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15629900679561"/>
          <c:y val="0.87342857142857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solidFill>
                  <a:sysClr val="windowText" lastClr="000000"/>
                </a:solidFill>
              </a:rPr>
              <a:t>年度收入支出表</a:t>
            </a:r>
            <a:endParaRPr lang="en-US" altLang="en-US">
              <a:solidFill>
                <a:sysClr val="windowText" lastClr="000000"/>
              </a:solidFill>
            </a:endParaRPr>
          </a:p>
        </c:rich>
      </c:tx>
      <c:layout>
        <c:manualLayout>
          <c:xMode val="edge"/>
          <c:yMode val="edge"/>
          <c:x val="0.314640487930454"/>
          <c:y val="0.025462962962963"/>
        </c:manualLayout>
      </c:layout>
      <c:overlay val="0"/>
      <c:spPr>
        <a:noFill/>
        <a:ln>
          <a:noFill/>
        </a:ln>
        <a:effectLst/>
      </c:spPr>
    </c:title>
    <c:autoTitleDeleted val="0"/>
    <c:plotArea>
      <c:layout/>
      <c:barChart>
        <c:barDir val="col"/>
        <c:grouping val="clustered"/>
        <c:varyColors val="0"/>
        <c:ser>
          <c:idx val="0"/>
          <c:order val="0"/>
          <c:spPr>
            <a:solidFill>
              <a:srgbClr val="C00000"/>
            </a:solidFill>
            <a:ln>
              <a:noFill/>
            </a:ln>
            <a:effectLst/>
          </c:spPr>
          <c:invertIfNegative val="0"/>
          <c:dPt>
            <c:idx val="1"/>
            <c:invertIfNegative val="0"/>
            <c:bubble3D val="0"/>
            <c:spPr>
              <a:solidFill>
                <a:schemeClr val="accent5"/>
              </a:solidFill>
              <a:ln>
                <a:noFill/>
              </a:ln>
              <a:effectLst/>
            </c:spPr>
          </c:dPt>
          <c:dPt>
            <c:idx val="3"/>
            <c:invertIfNegative val="0"/>
            <c:bubble3D val="0"/>
            <c:spPr>
              <a:solidFill>
                <a:schemeClr val="accent5"/>
              </a:solidFill>
              <a:ln>
                <a:noFill/>
              </a:ln>
              <a:effectLst/>
            </c:spPr>
          </c:dPt>
          <c:dLbls>
            <c:delete val="1"/>
          </c:dLbls>
          <c:cat>
            <c:strRef>
              <c:f>'[新建 XLS 工作表.xls]Sheet1'!$A$6:$A$9</c:f>
              <c:strCache>
                <c:ptCount val="4"/>
                <c:pt idx="0">
                  <c:v>2018年收入</c:v>
                </c:pt>
                <c:pt idx="1">
                  <c:v>2018年支出</c:v>
                </c:pt>
                <c:pt idx="2">
                  <c:v>2019年收入</c:v>
                </c:pt>
                <c:pt idx="3">
                  <c:v>2019年支出</c:v>
                </c:pt>
              </c:strCache>
            </c:strRef>
          </c:cat>
          <c:val>
            <c:numRef>
              <c:f>'[新建 XLS 工作表.xls]Sheet1'!$B$6:$B$9</c:f>
              <c:numCache>
                <c:formatCode>General</c:formatCode>
                <c:ptCount val="4"/>
                <c:pt idx="0">
                  <c:v>127.8</c:v>
                </c:pt>
                <c:pt idx="1">
                  <c:v>127.8</c:v>
                </c:pt>
                <c:pt idx="2">
                  <c:v>135.8</c:v>
                </c:pt>
                <c:pt idx="3">
                  <c:v>135.8</c:v>
                </c:pt>
              </c:numCache>
            </c:numRef>
          </c:val>
        </c:ser>
        <c:dLbls>
          <c:showLegendKey val="0"/>
          <c:showVal val="0"/>
          <c:showCatName val="0"/>
          <c:showSerName val="0"/>
          <c:showPercent val="0"/>
          <c:showBubbleSize val="0"/>
        </c:dLbls>
        <c:gapWidth val="219"/>
        <c:overlap val="-27"/>
        <c:axId val="340365294"/>
        <c:axId val="44009765"/>
      </c:barChart>
      <c:catAx>
        <c:axId val="3403652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009765"/>
        <c:crosses val="autoZero"/>
        <c:auto val="1"/>
        <c:lblAlgn val="ctr"/>
        <c:lblOffset val="100"/>
        <c:noMultiLvlLbl val="0"/>
      </c:catAx>
      <c:valAx>
        <c:axId val="440097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3652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a:t>
            </a:r>
            <a:r>
              <a:rPr lang="en-US" altLang="zh-CN">
                <a:solidFill>
                  <a:schemeClr val="tx1"/>
                </a:solidFill>
              </a:rPr>
              <a:t>019</a:t>
            </a:r>
            <a:r>
              <a:rPr>
                <a:solidFill>
                  <a:schemeClr val="tx1"/>
                </a:solidFill>
              </a:rPr>
              <a:t>年支出情况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spPr>
            <a:gradFill>
              <a:gsLst>
                <a:gs pos="0">
                  <a:srgbClr val="E30000"/>
                </a:gs>
                <a:gs pos="100000">
                  <a:srgbClr val="760303"/>
                </a:gs>
              </a:gsLst>
              <a:lin ang="5400000" scaled="0"/>
            </a:gradFill>
            <a:ln>
              <a:noFill/>
            </a:ln>
            <a:effectLst/>
          </c:spPr>
          <c:invertIfNegative val="0"/>
          <c:dPt>
            <c:idx val="1"/>
            <c:invertIfNegative val="0"/>
            <c:bubble3D val="0"/>
            <c:spPr>
              <a:solidFill>
                <a:schemeClr val="accent1"/>
              </a:solidFill>
              <a:ln>
                <a:noFill/>
              </a:ln>
              <a:effectLst/>
            </c:spPr>
          </c:dPt>
          <c:dLbls>
            <c:delete val="1"/>
          </c:dLbls>
          <c:cat>
            <c:strRef>
              <c:f>'[新建 XLS 工作表.xls]Sheet1'!$B$7:$B$8</c:f>
              <c:strCache>
                <c:ptCount val="2"/>
                <c:pt idx="0">
                  <c:v>基本支出</c:v>
                </c:pt>
                <c:pt idx="1">
                  <c:v>项目支出</c:v>
                </c:pt>
              </c:strCache>
            </c:strRef>
          </c:cat>
          <c:val>
            <c:numRef>
              <c:f>'[新建 XLS 工作表.xls]Sheet1'!$C$7:$C$8</c:f>
              <c:numCache>
                <c:formatCode>0%</c:formatCode>
                <c:ptCount val="2"/>
                <c:pt idx="0">
                  <c:v>0.58</c:v>
                </c:pt>
                <c:pt idx="1">
                  <c:v>0.42</c:v>
                </c:pt>
              </c:numCache>
            </c:numRef>
          </c:val>
        </c:ser>
        <c:dLbls>
          <c:showLegendKey val="0"/>
          <c:showVal val="0"/>
          <c:showCatName val="0"/>
          <c:showSerName val="0"/>
          <c:showPercent val="0"/>
          <c:showBubbleSize val="0"/>
        </c:dLbls>
        <c:gapWidth val="219"/>
        <c:overlap val="-27"/>
        <c:axId val="942470486"/>
        <c:axId val="369450316"/>
      </c:barChart>
      <c:catAx>
        <c:axId val="9424704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450316"/>
        <c:crosses val="autoZero"/>
        <c:auto val="1"/>
        <c:lblAlgn val="ctr"/>
        <c:lblOffset val="100"/>
        <c:noMultiLvlLbl val="0"/>
      </c:catAx>
      <c:valAx>
        <c:axId val="3694503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4704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年机关运行经费</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C00000"/>
              </a:solidFill>
              <a:ln>
                <a:noFill/>
              </a:ln>
              <a:effectLst/>
            </c:spPr>
          </c:dPt>
          <c:dLbls>
            <c:delete val="1"/>
          </c:dLbls>
          <c:cat>
            <c:strRef>
              <c:f>'[新建 XLS 工作表.xls]Sheet1'!$A$7:$A$8</c:f>
              <c:strCache>
                <c:ptCount val="2"/>
                <c:pt idx="0">
                  <c:v>机关运行经费预算</c:v>
                </c:pt>
                <c:pt idx="1">
                  <c:v>机关运行经费决算</c:v>
                </c:pt>
              </c:strCache>
            </c:strRef>
          </c:cat>
          <c:val>
            <c:numRef>
              <c:f>'[新建 XLS 工作表.xls]Sheet1'!$B$7:$B$8</c:f>
              <c:numCache>
                <c:formatCode>General</c:formatCode>
                <c:ptCount val="2"/>
                <c:pt idx="0">
                  <c:v>46.2</c:v>
                </c:pt>
                <c:pt idx="1">
                  <c:v>78.6</c:v>
                </c:pt>
              </c:numCache>
            </c:numRef>
          </c:val>
        </c:ser>
        <c:dLbls>
          <c:showLegendKey val="0"/>
          <c:showVal val="0"/>
          <c:showCatName val="0"/>
          <c:showSerName val="0"/>
          <c:showPercent val="0"/>
          <c:showBubbleSize val="0"/>
        </c:dLbls>
        <c:gapWidth val="219"/>
        <c:overlap val="-27"/>
        <c:axId val="835872483"/>
        <c:axId val="858716599"/>
      </c:barChart>
      <c:catAx>
        <c:axId val="8358724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716599"/>
        <c:crosses val="autoZero"/>
        <c:auto val="1"/>
        <c:lblAlgn val="ctr"/>
        <c:lblOffset val="100"/>
        <c:noMultiLvlLbl val="0"/>
      </c:catAx>
      <c:valAx>
        <c:axId val="858716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8724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年度政府采购支出情况</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工作表.xls]Sheet1'!$A$6:$A$8</c:f>
              <c:strCache>
                <c:ptCount val="3"/>
                <c:pt idx="0">
                  <c:v>政府采购支出总额</c:v>
                </c:pt>
                <c:pt idx="1">
                  <c:v>便捷式计算机</c:v>
                </c:pt>
                <c:pt idx="2">
                  <c:v>空调1.5P</c:v>
                </c:pt>
              </c:strCache>
            </c:strRef>
          </c:cat>
          <c:val>
            <c:numRef>
              <c:f>'[新建 XLS 工作表.xls]Sheet1'!$B$6:$B$8</c:f>
              <c:numCache>
                <c:formatCode>General</c:formatCode>
                <c:ptCount val="3"/>
                <c:pt idx="0">
                  <c:v>0.95</c:v>
                </c:pt>
                <c:pt idx="1">
                  <c:v>0.69</c:v>
                </c:pt>
                <c:pt idx="2">
                  <c:v>0.26</c:v>
                </c:pt>
              </c:numCache>
            </c:numRef>
          </c:val>
        </c:ser>
        <c:dLbls>
          <c:showLegendKey val="0"/>
          <c:showVal val="0"/>
          <c:showCatName val="0"/>
          <c:showSerName val="0"/>
          <c:showPercent val="0"/>
          <c:showBubbleSize val="0"/>
        </c:dLbls>
        <c:gapWidth val="219"/>
        <c:overlap val="-27"/>
        <c:axId val="20958764"/>
        <c:axId val="56499549"/>
      </c:barChart>
      <c:catAx>
        <c:axId val="209587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99549"/>
        <c:crosses val="autoZero"/>
        <c:auto val="1"/>
        <c:lblAlgn val="ctr"/>
        <c:lblOffset val="100"/>
        <c:noMultiLvlLbl val="0"/>
      </c:catAx>
      <c:valAx>
        <c:axId val="56499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587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7961</Words>
  <Characters>8468</Characters>
  <Lines>28</Lines>
  <Paragraphs>7</Paragraphs>
  <TotalTime>20</TotalTime>
  <ScaleCrop>false</ScaleCrop>
  <LinksUpToDate>false</LinksUpToDate>
  <CharactersWithSpaces>8682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lenovo</dc:creator>
  <cp:lastModifiedBy>米小米</cp:lastModifiedBy>
  <cp:lastPrinted>2020-09-30T09:04:00Z</cp:lastPrinted>
  <dcterms:modified xsi:type="dcterms:W3CDTF">2024-09-04T02:11:19Z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2849371A13164F5B9EEADA8FE247F08D_12</vt:lpwstr>
  </property>
</Properties>
</file>