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520" w:lineRule="exact"/>
        <w:ind w:firstLine="0"/>
        <w:jc w:val="both"/>
        <w:rPr>
          <w:rFonts w:hint="eastAsia" w:ascii="Times New Roman" w:hAnsi="Times New Roman" w:eastAsia="黑体" w:cs="Times New Roman"/>
          <w:sz w:val="44"/>
          <w:szCs w:val="44"/>
          <w:lang w:val="en-US" w:eastAsia="zh-CN"/>
        </w:rPr>
      </w:pPr>
      <w:bookmarkStart w:id="0" w:name="_GoBack"/>
      <w:bookmarkEnd w:id="0"/>
      <w:r>
        <w:rPr>
          <w:rFonts w:hint="eastAsia" w:ascii="黑体" w:hAnsi="黑体" w:eastAsia="黑体" w:cs="黑体"/>
          <w:sz w:val="30"/>
          <w:szCs w:val="30"/>
          <w:lang w:eastAsia="zh-CN"/>
        </w:rPr>
        <w:t>附件</w:t>
      </w:r>
      <w:r>
        <w:rPr>
          <w:rFonts w:hint="eastAsia" w:ascii="黑体" w:hAnsi="黑体" w:eastAsia="黑体" w:cs="黑体"/>
          <w:sz w:val="30"/>
          <w:szCs w:val="30"/>
          <w:lang w:val="en-US" w:eastAsia="zh-CN"/>
        </w:rPr>
        <w:t>1</w:t>
      </w:r>
      <w:r>
        <w:rPr>
          <w:rFonts w:hint="eastAsia" w:ascii="黑体" w:hAnsi="黑体" w:eastAsia="黑体" w:cs="黑体"/>
          <w:sz w:val="44"/>
          <w:szCs w:val="44"/>
          <w:lang w:val="en-US" w:eastAsia="zh-CN"/>
        </w:rPr>
        <w:t xml:space="preserve"> </w:t>
      </w:r>
      <w:r>
        <w:rPr>
          <w:rFonts w:hint="eastAsia" w:ascii="Times New Roman" w:hAnsi="Times New Roman" w:eastAsia="黑体" w:cs="Times New Roman"/>
          <w:sz w:val="44"/>
          <w:szCs w:val="44"/>
          <w:lang w:val="en-US" w:eastAsia="zh-CN"/>
        </w:rPr>
        <w:t xml:space="preserve">             </w:t>
      </w:r>
    </w:p>
    <w:p>
      <w:pPr>
        <w:pStyle w:val="6"/>
        <w:shd w:val="clear" w:color="auto" w:fill="FFFFFF"/>
        <w:spacing w:before="0" w:beforeAutospacing="0" w:after="0" w:afterAutospacing="0" w:line="520" w:lineRule="exact"/>
        <w:ind w:firstLine="0"/>
        <w:jc w:val="center"/>
        <w:rPr>
          <w:rFonts w:hint="eastAsia" w:ascii="方正小标宋简体" w:hAnsi="方正小标宋简体" w:eastAsia="方正小标宋简体" w:cs="方正小标宋简体"/>
          <w:spacing w:val="20"/>
          <w:w w:val="90"/>
          <w:sz w:val="44"/>
          <w:szCs w:val="44"/>
          <w:lang w:eastAsia="zh-CN"/>
        </w:rPr>
      </w:pPr>
      <w:r>
        <w:rPr>
          <w:rFonts w:hint="eastAsia" w:ascii="方正小标宋简体" w:hAnsi="方正小标宋简体" w:eastAsia="方正小标宋简体" w:cs="方正小标宋简体"/>
          <w:sz w:val="44"/>
          <w:szCs w:val="44"/>
          <w:lang w:eastAsia="zh-CN"/>
        </w:rPr>
        <w:t>灞桥区</w:t>
      </w:r>
      <w:r>
        <w:rPr>
          <w:rFonts w:hint="eastAsia" w:ascii="方正小标宋简体" w:hAnsi="方正小标宋简体" w:eastAsia="方正小标宋简体" w:cs="方正小标宋简体"/>
          <w:spacing w:val="20"/>
          <w:w w:val="90"/>
          <w:sz w:val="44"/>
          <w:szCs w:val="44"/>
        </w:rPr>
        <w:t>证明事项保留</w:t>
      </w:r>
      <w:r>
        <w:rPr>
          <w:rFonts w:hint="eastAsia" w:ascii="方正小标宋简体" w:hAnsi="方正小标宋简体" w:eastAsia="方正小标宋简体" w:cs="方正小标宋简体"/>
          <w:spacing w:val="20"/>
          <w:w w:val="90"/>
          <w:sz w:val="44"/>
          <w:szCs w:val="44"/>
          <w:lang w:eastAsia="zh-CN"/>
        </w:rPr>
        <w:t>清单</w:t>
      </w:r>
    </w:p>
    <w:p>
      <w:pPr>
        <w:pStyle w:val="6"/>
        <w:shd w:val="clear" w:color="auto" w:fill="FFFFFF"/>
        <w:spacing w:before="0" w:beforeAutospacing="0" w:after="0" w:afterAutospacing="0" w:line="520" w:lineRule="exact"/>
        <w:ind w:firstLine="0"/>
        <w:jc w:val="both"/>
        <w:rPr>
          <w:rFonts w:hint="eastAsia" w:ascii="仿宋_GB2312" w:hAnsi="仿宋_GB2312" w:eastAsia="仿宋_GB2312" w:cs="仿宋_GB2312"/>
          <w:spacing w:val="20"/>
          <w:w w:val="90"/>
          <w:sz w:val="21"/>
          <w:szCs w:val="21"/>
          <w:lang w:eastAsia="zh-CN"/>
        </w:rPr>
      </w:pPr>
    </w:p>
    <w:tbl>
      <w:tblPr>
        <w:tblStyle w:val="7"/>
        <w:tblW w:w="462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3"/>
        <w:gridCol w:w="1551"/>
        <w:gridCol w:w="1340"/>
        <w:gridCol w:w="2672"/>
        <w:gridCol w:w="937"/>
        <w:gridCol w:w="1098"/>
        <w:gridCol w:w="1138"/>
        <w:gridCol w:w="657"/>
        <w:gridCol w:w="674"/>
        <w:gridCol w:w="664"/>
        <w:gridCol w:w="717"/>
        <w:gridCol w:w="9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271" w:type="pct"/>
            <w:vMerge w:val="restart"/>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rPr>
              <w:t>序号</w:t>
            </w:r>
          </w:p>
        </w:tc>
        <w:tc>
          <w:tcPr>
            <w:tcW w:w="591" w:type="pct"/>
            <w:vMerge w:val="restart"/>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rPr>
              <w:t>证明名称</w:t>
            </w:r>
          </w:p>
        </w:tc>
        <w:tc>
          <w:tcPr>
            <w:tcW w:w="511" w:type="pct"/>
            <w:vMerge w:val="restart"/>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left="57" w:right="57"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rPr>
              <w:t>证明用途</w:t>
            </w:r>
          </w:p>
        </w:tc>
        <w:tc>
          <w:tcPr>
            <w:tcW w:w="1376" w:type="pct"/>
            <w:gridSpan w:val="2"/>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rPr>
              <w:t>设定依据</w:t>
            </w:r>
          </w:p>
        </w:tc>
        <w:tc>
          <w:tcPr>
            <w:tcW w:w="852" w:type="pct"/>
            <w:gridSpan w:val="2"/>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rPr>
              <w:t>实施基本情况</w:t>
            </w:r>
          </w:p>
        </w:tc>
        <w:tc>
          <w:tcPr>
            <w:tcW w:w="1034" w:type="pct"/>
            <w:gridSpan w:val="4"/>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rPr>
              <w:t>行使层级</w:t>
            </w:r>
          </w:p>
        </w:tc>
        <w:tc>
          <w:tcPr>
            <w:tcW w:w="361" w:type="pct"/>
            <w:vMerge w:val="restar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57" w:right="57" w:firstLine="0"/>
              <w:jc w:val="distribute"/>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rPr>
              <w:t>保留</w:t>
            </w:r>
          </w:p>
          <w:p>
            <w:pPr>
              <w:keepNext w:val="0"/>
              <w:keepLines w:val="0"/>
              <w:pageBreakBefore w:val="0"/>
              <w:widowControl/>
              <w:kinsoku/>
              <w:wordWrap/>
              <w:overflowPunct/>
              <w:topLinePunct w:val="0"/>
              <w:autoSpaceDE/>
              <w:autoSpaceDN/>
              <w:bidi w:val="0"/>
              <w:adjustRightInd/>
              <w:snapToGrid/>
              <w:spacing w:before="120" w:after="120" w:line="240" w:lineRule="exact"/>
              <w:ind w:left="57" w:right="57" w:firstLine="0"/>
              <w:jc w:val="distribute"/>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rPr>
              <w:t>理由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271"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p>
        </w:tc>
        <w:tc>
          <w:tcPr>
            <w:tcW w:w="591"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p>
        </w:tc>
        <w:tc>
          <w:tcPr>
            <w:tcW w:w="511"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p>
        </w:tc>
        <w:tc>
          <w:tcPr>
            <w:tcW w:w="1019"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rPr>
              <w:t>依据名称、文号及条文内容</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rPr>
              <w:t>效力</w:t>
            </w:r>
          </w:p>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rPr>
              <w:t>层级</w:t>
            </w:r>
          </w:p>
        </w:tc>
        <w:tc>
          <w:tcPr>
            <w:tcW w:w="418"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rPr>
              <w:t>索要</w:t>
            </w:r>
          </w:p>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rPr>
              <w:t>单位</w:t>
            </w:r>
          </w:p>
        </w:tc>
        <w:tc>
          <w:tcPr>
            <w:tcW w:w="434"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lang w:eastAsia="zh-CN"/>
              </w:rPr>
              <w:t>实施</w:t>
            </w:r>
            <w:r>
              <w:rPr>
                <w:rFonts w:hint="eastAsia" w:ascii="仿宋_GB2312" w:hAnsi="仿宋_GB2312" w:eastAsia="仿宋_GB2312" w:cs="仿宋_GB2312"/>
                <w:b/>
                <w:color w:val="auto"/>
                <w:kern w:val="0"/>
                <w:sz w:val="21"/>
                <w:szCs w:val="21"/>
              </w:rPr>
              <w:t>单位</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spacing w:val="-2"/>
                <w:kern w:val="0"/>
                <w:sz w:val="21"/>
                <w:szCs w:val="21"/>
              </w:rPr>
            </w:pPr>
            <w:r>
              <w:rPr>
                <w:rFonts w:hint="eastAsia" w:ascii="仿宋_GB2312" w:hAnsi="仿宋_GB2312" w:eastAsia="仿宋_GB2312" w:cs="仿宋_GB2312"/>
                <w:b/>
                <w:color w:val="auto"/>
                <w:spacing w:val="-2"/>
                <w:kern w:val="0"/>
                <w:sz w:val="21"/>
                <w:szCs w:val="21"/>
              </w:rPr>
              <w:t>省部级</w:t>
            </w: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rPr>
              <w:t>市级</w:t>
            </w: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rPr>
              <w:t>县级</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rPr>
              <w:t>乡级</w:t>
            </w:r>
          </w:p>
          <w:p>
            <w:pPr>
              <w:keepNext w:val="0"/>
              <w:keepLines w:val="0"/>
              <w:pageBreakBefore w:val="0"/>
              <w:widowControl/>
              <w:kinsoku/>
              <w:wordWrap/>
              <w:overflowPunct/>
              <w:topLinePunct w:val="0"/>
              <w:autoSpaceDE/>
              <w:autoSpaceDN/>
              <w:bidi w:val="0"/>
              <w:adjustRightInd/>
              <w:snapToGrid/>
              <w:spacing w:before="120" w:after="120" w:line="20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rPr>
              <w:t>及其他</w:t>
            </w:r>
          </w:p>
        </w:tc>
        <w:tc>
          <w:tcPr>
            <w:tcW w:w="361"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distribute"/>
              <w:textAlignment w:val="auto"/>
              <w:rPr>
                <w:rFonts w:hint="eastAsia" w:ascii="仿宋_GB2312" w:hAnsi="仿宋_GB2312" w:eastAsia="仿宋_GB2312" w:cs="仿宋_GB2312"/>
                <w:b/>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color w:val="auto"/>
                <w:sz w:val="21"/>
                <w:szCs w:val="21"/>
                <w:lang w:val="en-US" w:eastAsia="zh-CN"/>
              </w:rPr>
              <w:t>学历证明、职业技能鉴定证书、培训合格证书</w:t>
            </w:r>
          </w:p>
        </w:tc>
        <w:tc>
          <w:tcPr>
            <w:tcW w:w="51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color w:val="auto"/>
                <w:sz w:val="21"/>
                <w:szCs w:val="21"/>
                <w:lang w:val="en-US" w:eastAsia="zh-CN"/>
              </w:rPr>
              <w:t>用于办理乡村兽医登记许可</w:t>
            </w:r>
          </w:p>
        </w:tc>
        <w:tc>
          <w:tcPr>
            <w:tcW w:w="10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《动物防疫法》第71条　乡村兽医可以在乡村从事动物诊疗活动。具体管理办法由国务院农业农村主管部门制定。</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color w:val="auto"/>
                <w:sz w:val="21"/>
                <w:szCs w:val="21"/>
                <w:lang w:val="en-US" w:eastAsia="zh-CN"/>
              </w:rPr>
              <w:t>《乡村兽医管理办法》第7条：申请乡村兽医登记的，应当提交下列材料：（一）乡村兽医登记申请表；（二）学历证明、职业技能鉴定证书、培训合格证书；（三）申请人身份证明和复印件。</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color w:val="auto"/>
                <w:kern w:val="0"/>
                <w:sz w:val="21"/>
                <w:szCs w:val="21"/>
                <w:lang w:val="en-US" w:eastAsia="zh-CN"/>
              </w:rPr>
            </w:pPr>
            <w:r>
              <w:rPr>
                <w:rFonts w:hint="eastAsia" w:ascii="仿宋_GB2312" w:hAnsi="仿宋_GB2312" w:eastAsia="仿宋_GB2312" w:cs="仿宋_GB2312"/>
                <w:b w:val="0"/>
                <w:bCs/>
                <w:color w:val="auto"/>
                <w:kern w:val="0"/>
                <w:sz w:val="21"/>
                <w:szCs w:val="21"/>
                <w:lang w:val="en-US" w:eastAsia="zh-CN"/>
              </w:rPr>
              <w:t>法律</w:t>
            </w:r>
          </w:p>
        </w:tc>
        <w:tc>
          <w:tcPr>
            <w:tcW w:w="418"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left"/>
              <w:textAlignment w:val="auto"/>
              <w:rPr>
                <w:rFonts w:hint="eastAsia" w:ascii="仿宋_GB2312" w:hAnsi="仿宋_GB2312" w:eastAsia="仿宋_GB2312" w:cs="仿宋_GB2312"/>
                <w:b w:val="0"/>
                <w:bCs/>
                <w:color w:val="auto"/>
                <w:kern w:val="0"/>
                <w:sz w:val="21"/>
                <w:szCs w:val="21"/>
                <w:lang w:val="en-US" w:eastAsia="zh-CN"/>
              </w:rPr>
            </w:pPr>
            <w:r>
              <w:rPr>
                <w:rFonts w:hint="eastAsia" w:ascii="仿宋_GB2312" w:hAnsi="仿宋_GB2312" w:eastAsia="仿宋_GB2312" w:cs="仿宋_GB2312"/>
                <w:b w:val="0"/>
                <w:bCs/>
                <w:color w:val="auto"/>
                <w:kern w:val="0"/>
                <w:sz w:val="21"/>
                <w:szCs w:val="21"/>
                <w:lang w:val="en-US" w:eastAsia="zh-CN"/>
              </w:rPr>
              <w:t>区农业农村局</w:t>
            </w:r>
          </w:p>
        </w:tc>
        <w:tc>
          <w:tcPr>
            <w:tcW w:w="434"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color w:val="auto"/>
                <w:sz w:val="21"/>
                <w:szCs w:val="21"/>
                <w:lang w:val="en-US" w:eastAsia="zh-CN"/>
              </w:rPr>
              <w:t>教育机构、职业技能鉴定机构、兽医部门等</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动物诊疗场所使用权证明</w:t>
            </w:r>
          </w:p>
        </w:tc>
        <w:tc>
          <w:tcPr>
            <w:tcW w:w="51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用于申办动物诊疗许可证</w:t>
            </w:r>
          </w:p>
        </w:tc>
        <w:tc>
          <w:tcPr>
            <w:tcW w:w="1019" w:type="pct"/>
            <w:noWrap w:val="0"/>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0"/>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《动物防疫法》第61条　从事动物诊疗活动的机构，应当具备下列条件：(一)有与动物诊疗活动相适应并符合动物防疫条件的场所;……</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《动物诊疗机构管理办法》第7条设立动物诊疗机构，应当向动物诊疗场所所在地的发证机关提出申请，并提交下列材料：……（三）动物诊疗场所使用权证明；……</w:t>
            </w:r>
          </w:p>
        </w:tc>
        <w:tc>
          <w:tcPr>
            <w:tcW w:w="35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210" w:firstLineChars="100"/>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val="0"/>
                <w:bCs/>
                <w:color w:val="auto"/>
                <w:kern w:val="0"/>
                <w:sz w:val="21"/>
                <w:szCs w:val="21"/>
                <w:lang w:val="en-US" w:eastAsia="zh-CN"/>
              </w:rPr>
              <w:t>法律</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区农业农村局</w:t>
            </w:r>
          </w:p>
        </w:tc>
        <w:tc>
          <w:tcPr>
            <w:tcW w:w="434"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社区居民委员会或者村民委员会</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color w:val="auto"/>
                <w:kern w:val="0"/>
                <w:sz w:val="21"/>
                <w:szCs w:val="21"/>
                <w:lang w:val="en-US" w:eastAsia="zh-CN" w:bidi="ar-SA"/>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8"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执业兽医和服务人员的健康证明材料</w:t>
            </w:r>
          </w:p>
        </w:tc>
        <w:tc>
          <w:tcPr>
            <w:tcW w:w="51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用于申办动物诊疗许可证</w:t>
            </w:r>
          </w:p>
        </w:tc>
        <w:tc>
          <w:tcPr>
            <w:tcW w:w="10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《动物防疫法》第64条　动物诊疗机构应当按照国务院农业农村主管部门的规定，做好诊疗活动中的卫生安全防护、消毒、隔离和诊疗废弃物处置等工作。</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《动物诊疗机构管理办法》第7条　设立动物诊疗机构，应当向动物诊疗场所所在地的发证机关提出申请，并提交下列材料：……（八）执业兽医和服务人员的健康证明材料。</w:t>
            </w:r>
          </w:p>
        </w:tc>
        <w:tc>
          <w:tcPr>
            <w:tcW w:w="35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法律</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区农业农村局</w:t>
            </w:r>
          </w:p>
        </w:tc>
        <w:tc>
          <w:tcPr>
            <w:tcW w:w="434"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县级以上医疗机构</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color w:val="auto"/>
                <w:kern w:val="0"/>
                <w:sz w:val="21"/>
                <w:szCs w:val="21"/>
                <w:lang w:val="en-US" w:eastAsia="zh-CN" w:bidi="ar-SA"/>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rPr>
              <w:t>死亡证明</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lang w:eastAsia="zh-CN"/>
              </w:rPr>
              <w:t>支付</w:t>
            </w:r>
            <w:r>
              <w:rPr>
                <w:rFonts w:hint="eastAsia" w:ascii="仿宋_GB2312" w:hAnsi="仿宋_GB2312" w:eastAsia="仿宋_GB2312" w:cs="仿宋_GB2312"/>
                <w:color w:val="auto"/>
                <w:sz w:val="21"/>
                <w:szCs w:val="21"/>
              </w:rPr>
              <w:t>一次性工亡</w:t>
            </w:r>
            <w:r>
              <w:rPr>
                <w:rFonts w:hint="eastAsia" w:ascii="仿宋_GB2312" w:hAnsi="仿宋_GB2312" w:eastAsia="仿宋_GB2312" w:cs="仿宋_GB2312"/>
                <w:color w:val="auto"/>
                <w:sz w:val="21"/>
                <w:szCs w:val="21"/>
                <w:lang w:eastAsia="zh-CN"/>
              </w:rPr>
              <w:t>补助金</w:t>
            </w:r>
          </w:p>
        </w:tc>
        <w:tc>
          <w:tcPr>
            <w:tcW w:w="1019"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工伤保险条例</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第</w:t>
            </w:r>
            <w:r>
              <w:rPr>
                <w:rFonts w:hint="eastAsia" w:ascii="仿宋_GB2312" w:hAnsi="仿宋_GB2312" w:eastAsia="仿宋_GB2312" w:cs="仿宋_GB2312"/>
                <w:color w:val="auto"/>
                <w:sz w:val="21"/>
                <w:szCs w:val="21"/>
                <w:lang w:val="en-US" w:eastAsia="zh-CN"/>
              </w:rPr>
              <w:t>39</w:t>
            </w:r>
            <w:r>
              <w:rPr>
                <w:rFonts w:hint="eastAsia" w:ascii="仿宋_GB2312" w:hAnsi="仿宋_GB2312" w:eastAsia="仿宋_GB2312" w:cs="仿宋_GB2312"/>
                <w:color w:val="auto"/>
                <w:sz w:val="21"/>
                <w:szCs w:val="21"/>
              </w:rPr>
              <w:t xml:space="preserve">条 </w:t>
            </w:r>
            <w:r>
              <w:rPr>
                <w:rFonts w:hint="eastAsia" w:ascii="仿宋_GB2312" w:hAnsi="仿宋_GB2312" w:eastAsia="仿宋_GB2312" w:cs="仿宋_GB2312"/>
                <w:i w:val="0"/>
                <w:caps w:val="0"/>
                <w:color w:val="auto"/>
                <w:spacing w:val="0"/>
                <w:sz w:val="21"/>
                <w:szCs w:val="21"/>
              </w:rPr>
              <w:t>职工因工死亡，其近亲属按照下列规定从工伤保险基金领取丧葬补助金、供养亲属抚恤金和一次性工亡补助金：</w:t>
            </w:r>
            <w:r>
              <w:rPr>
                <w:rFonts w:hint="eastAsia" w:ascii="仿宋_GB2312" w:hAnsi="仿宋_GB2312" w:eastAsia="仿宋_GB2312" w:cs="仿宋_GB2312"/>
                <w:i w:val="0"/>
                <w:caps w:val="0"/>
                <w:color w:val="auto"/>
                <w:spacing w:val="0"/>
                <w:sz w:val="21"/>
                <w:szCs w:val="21"/>
              </w:rPr>
              <w:br w:type="textWrapping"/>
            </w:r>
            <w:r>
              <w:rPr>
                <w:rFonts w:hint="eastAsia" w:ascii="仿宋_GB2312" w:hAnsi="仿宋_GB2312" w:eastAsia="仿宋_GB2312" w:cs="仿宋_GB2312"/>
                <w:i w:val="0"/>
                <w:caps w:val="0"/>
                <w:color w:val="auto"/>
                <w:spacing w:val="0"/>
                <w:sz w:val="21"/>
                <w:szCs w:val="21"/>
              </w:rPr>
              <w:t>（一）丧葬补助金为6个月的统筹地区上年度职工月平均工资；</w:t>
            </w:r>
            <w:r>
              <w:rPr>
                <w:rFonts w:hint="eastAsia" w:ascii="仿宋_GB2312" w:hAnsi="仿宋_GB2312" w:eastAsia="仿宋_GB2312" w:cs="仿宋_GB2312"/>
                <w:i w:val="0"/>
                <w:caps w:val="0"/>
                <w:color w:val="auto"/>
                <w:spacing w:val="0"/>
                <w:sz w:val="21"/>
                <w:szCs w:val="21"/>
              </w:rPr>
              <w:br w:type="textWrapping"/>
            </w:r>
            <w:r>
              <w:rPr>
                <w:rFonts w:hint="eastAsia" w:ascii="仿宋_GB2312" w:hAnsi="仿宋_GB2312" w:eastAsia="仿宋_GB2312" w:cs="仿宋_GB2312"/>
                <w:i w:val="0"/>
                <w:caps w:val="0"/>
                <w:color w:val="auto"/>
                <w:spacing w:val="0"/>
                <w:sz w:val="21"/>
                <w:szCs w:val="21"/>
              </w:rPr>
              <w:t>（二）供养亲属抚恤金按照职工本人工资的一定比例发给由因工死亡职工生前提供主要生活来源、无劳动能力的亲属。标准为：配偶每月40%，其他亲属每人每月30%，孤寡老人或者孤儿每人每月在上述标准的基础上增加10%。核定的各供养亲属的抚恤金之和不应高于因工死亡职工生前的工资。供养亲属的具体范围由国务院社会保险行政部门规定；</w:t>
            </w:r>
            <w:r>
              <w:rPr>
                <w:rFonts w:hint="eastAsia" w:ascii="仿宋_GB2312" w:hAnsi="仿宋_GB2312" w:eastAsia="仿宋_GB2312" w:cs="仿宋_GB2312"/>
                <w:i w:val="0"/>
                <w:caps w:val="0"/>
                <w:color w:val="auto"/>
                <w:spacing w:val="0"/>
                <w:sz w:val="21"/>
                <w:szCs w:val="21"/>
              </w:rPr>
              <w:br w:type="textWrapping"/>
            </w:r>
            <w:r>
              <w:rPr>
                <w:rFonts w:hint="eastAsia" w:ascii="仿宋_GB2312" w:hAnsi="仿宋_GB2312" w:eastAsia="仿宋_GB2312" w:cs="仿宋_GB2312"/>
                <w:i w:val="0"/>
                <w:caps w:val="0"/>
                <w:color w:val="auto"/>
                <w:spacing w:val="0"/>
                <w:sz w:val="21"/>
                <w:szCs w:val="21"/>
              </w:rPr>
              <w:t>（三）一次性工亡补助金标准为上一年度全国城镇居民人均可支配收入的20倍。</w:t>
            </w:r>
            <w:r>
              <w:rPr>
                <w:rFonts w:hint="eastAsia" w:ascii="仿宋_GB2312" w:hAnsi="仿宋_GB2312" w:eastAsia="仿宋_GB2312" w:cs="仿宋_GB2312"/>
                <w:i w:val="0"/>
                <w:caps w:val="0"/>
                <w:color w:val="auto"/>
                <w:spacing w:val="0"/>
                <w:sz w:val="21"/>
                <w:szCs w:val="21"/>
              </w:rPr>
              <w:br w:type="textWrapping"/>
            </w:r>
            <w:r>
              <w:rPr>
                <w:rFonts w:hint="eastAsia" w:ascii="仿宋_GB2312" w:hAnsi="仿宋_GB2312" w:eastAsia="仿宋_GB2312" w:cs="仿宋_GB2312"/>
                <w:i w:val="0"/>
                <w:caps w:val="0"/>
                <w:color w:val="auto"/>
                <w:spacing w:val="0"/>
                <w:sz w:val="21"/>
                <w:szCs w:val="21"/>
              </w:rPr>
              <w:t>伤残职工在停工留薪期内因工伤导致死亡的，其近亲属享受本条第一款规定的待遇。</w:t>
            </w:r>
            <w:r>
              <w:rPr>
                <w:rFonts w:hint="eastAsia" w:ascii="仿宋_GB2312" w:hAnsi="仿宋_GB2312" w:eastAsia="仿宋_GB2312" w:cs="仿宋_GB2312"/>
                <w:i w:val="0"/>
                <w:caps w:val="0"/>
                <w:color w:val="auto"/>
                <w:spacing w:val="0"/>
                <w:sz w:val="21"/>
                <w:szCs w:val="21"/>
              </w:rPr>
              <w:br w:type="textWrapping"/>
            </w:r>
            <w:r>
              <w:rPr>
                <w:rFonts w:hint="eastAsia" w:ascii="仿宋_GB2312" w:hAnsi="仿宋_GB2312" w:eastAsia="仿宋_GB2312" w:cs="仿宋_GB2312"/>
                <w:i w:val="0"/>
                <w:caps w:val="0"/>
                <w:color w:val="auto"/>
                <w:spacing w:val="0"/>
                <w:sz w:val="21"/>
                <w:szCs w:val="21"/>
              </w:rPr>
              <w:t>一级至四级伤残职工在停工留薪期满后死亡的，其近亲属可以享受本条第一款第（一）项、第（二）项规定的待遇。</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color w:val="auto"/>
                <w:kern w:val="0"/>
                <w:sz w:val="21"/>
                <w:szCs w:val="21"/>
                <w:lang w:val="en-US" w:eastAsia="zh-CN"/>
              </w:rPr>
            </w:pPr>
            <w:r>
              <w:rPr>
                <w:rFonts w:hint="eastAsia" w:ascii="仿宋_GB2312" w:hAnsi="仿宋_GB2312" w:eastAsia="仿宋_GB2312" w:cs="仿宋_GB2312"/>
                <w:b w:val="0"/>
                <w:bCs/>
                <w:color w:val="auto"/>
                <w:kern w:val="0"/>
                <w:sz w:val="21"/>
                <w:szCs w:val="21"/>
                <w:lang w:val="en-US" w:eastAsia="zh-CN"/>
              </w:rPr>
              <w:t>行政</w:t>
            </w:r>
          </w:p>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color w:val="auto"/>
                <w:kern w:val="0"/>
                <w:sz w:val="21"/>
                <w:szCs w:val="21"/>
                <w:lang w:val="en-US" w:eastAsia="zh-CN"/>
              </w:rPr>
            </w:pPr>
            <w:r>
              <w:rPr>
                <w:rFonts w:hint="eastAsia" w:ascii="仿宋_GB2312" w:hAnsi="仿宋_GB2312" w:eastAsia="仿宋_GB2312" w:cs="仿宋_GB2312"/>
                <w:b w:val="0"/>
                <w:bCs/>
                <w:color w:val="auto"/>
                <w:kern w:val="0"/>
                <w:sz w:val="21"/>
                <w:szCs w:val="21"/>
                <w:lang w:val="en-US" w:eastAsia="zh-CN"/>
              </w:rPr>
              <w:t>法规</w:t>
            </w:r>
          </w:p>
        </w:tc>
        <w:tc>
          <w:tcPr>
            <w:tcW w:w="41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lang w:eastAsia="zh-CN"/>
              </w:rPr>
              <w:t>区人社局</w:t>
            </w:r>
          </w:p>
        </w:tc>
        <w:tc>
          <w:tcPr>
            <w:tcW w:w="434" w:type="pct"/>
            <w:noWrap w:val="0"/>
            <w:vAlign w:val="center"/>
          </w:tcPr>
          <w:p>
            <w:pPr>
              <w:ind w:left="0" w:leftChars="0" w:firstLine="0" w:firstLineChars="0"/>
              <w:jc w:val="both"/>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rPr>
              <w:t>就诊医院</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333333"/>
                <w:kern w:val="0"/>
                <w:sz w:val="21"/>
                <w:szCs w:val="21"/>
                <w:u w:val="none"/>
                <w:lang w:val="en-US" w:eastAsia="zh-CN" w:bidi="ar"/>
              </w:rPr>
              <w:t>死亡证明</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i w:val="0"/>
                <w:iCs w:val="0"/>
                <w:color w:val="333333"/>
                <w:kern w:val="0"/>
                <w:sz w:val="21"/>
                <w:szCs w:val="21"/>
                <w:u w:val="none"/>
                <w:lang w:val="en-US" w:eastAsia="zh-CN" w:bidi="ar"/>
              </w:rPr>
              <w:t>工伤认定</w:t>
            </w:r>
          </w:p>
        </w:tc>
        <w:tc>
          <w:tcPr>
            <w:tcW w:w="10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《工伤保险条例》第十八条第一款：提出工伤认定申请应当提交下列材料：（一）工伤认定申请表；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i w:val="0"/>
                <w:iCs w:val="0"/>
                <w:color w:val="333333"/>
                <w:kern w:val="0"/>
                <w:sz w:val="21"/>
                <w:szCs w:val="21"/>
                <w:u w:val="none"/>
                <w:lang w:val="en-US" w:eastAsia="zh-CN" w:bidi="ar"/>
              </w:rPr>
              <w:t>《工伤认定办法》附件中规定的工伤认定申请填表说明要求：有下列情形之一的，还应当分别提交相应证据：（一）职工死亡的，提交死亡证明</w:t>
            </w:r>
          </w:p>
        </w:tc>
        <w:tc>
          <w:tcPr>
            <w:tcW w:w="35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法规</w:t>
            </w:r>
          </w:p>
        </w:tc>
        <w:tc>
          <w:tcPr>
            <w:tcW w:w="4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i w:val="0"/>
                <w:iCs w:val="0"/>
                <w:color w:val="333333"/>
                <w:kern w:val="0"/>
                <w:sz w:val="21"/>
                <w:szCs w:val="21"/>
                <w:u w:val="none"/>
                <w:lang w:val="en-US" w:eastAsia="zh-CN" w:bidi="ar"/>
              </w:rPr>
              <w:t>区人社局</w:t>
            </w:r>
          </w:p>
        </w:tc>
        <w:tc>
          <w:tcPr>
            <w:tcW w:w="43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333333"/>
                <w:kern w:val="0"/>
                <w:sz w:val="21"/>
                <w:szCs w:val="21"/>
                <w:u w:val="none"/>
                <w:lang w:val="en-US" w:eastAsia="zh-CN" w:bidi="ar"/>
              </w:rPr>
              <w:t>医疗机构</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在工作时间和工作场所内，因履行工作职责受到暴力等意外伤害证明</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工伤认定</w:t>
            </w:r>
          </w:p>
        </w:tc>
        <w:tc>
          <w:tcPr>
            <w:tcW w:w="10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《工伤保险条例》第十八条第一款：提出工伤认定申请应当提交下列材料：（一）工伤认定申请表；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认定办法》附件中规定的工伤认定申请填表说明要求：有下列情形之一的，还应当分别提交相应证据：……（二）在工作时间和工作场所内，因履行工作职责受到暴力等意外伤害的，提交公安部门的证明或者其他相关证明；</w:t>
            </w:r>
          </w:p>
        </w:tc>
        <w:tc>
          <w:tcPr>
            <w:tcW w:w="35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法规</w:t>
            </w:r>
          </w:p>
        </w:tc>
        <w:tc>
          <w:tcPr>
            <w:tcW w:w="4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区人社局</w:t>
            </w:r>
          </w:p>
        </w:tc>
        <w:tc>
          <w:tcPr>
            <w:tcW w:w="43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公安部门等</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由于工作原因受到伤害或者发生事故下落不明证明</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工伤认定</w:t>
            </w:r>
          </w:p>
        </w:tc>
        <w:tc>
          <w:tcPr>
            <w:tcW w:w="10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1.《工伤保险条例》第十八条第一款：提出工伤认定申请应当提交下列材料：（一）工伤认定申请表；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2.《工伤认定办法》附件中规定的工伤认定申请填表说明要求：有下列情形之一的，还应当分别提交相应证据：……（三）因工外出期间，由于工作原因受到伤害或者发生事故下落不明的，提交公安部门的证明或者相关部门的证明；</w:t>
            </w:r>
          </w:p>
        </w:tc>
        <w:tc>
          <w:tcPr>
            <w:tcW w:w="35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法规</w:t>
            </w:r>
          </w:p>
        </w:tc>
        <w:tc>
          <w:tcPr>
            <w:tcW w:w="4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区人社局</w:t>
            </w:r>
          </w:p>
        </w:tc>
        <w:tc>
          <w:tcPr>
            <w:tcW w:w="43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公安部门等</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交通事故责任认定书</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工伤认定</w:t>
            </w:r>
          </w:p>
        </w:tc>
        <w:tc>
          <w:tcPr>
            <w:tcW w:w="10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《工伤保险条例》第十八条第一款：提出工伤认定申请应当提交下列材料：（一）工伤认定申请表；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认定办法》附件中规定的工伤认定申请填表说明要求：有下列情形之一的，还应当分别提交相应证据：……（四）上下班途中，受到非本人主要责任的交通事故或者城市轨道交通、客运轮渡、火车事故伤害的，提交公安机关交通管理部门或者其他相关部门的证明</w:t>
            </w:r>
          </w:p>
        </w:tc>
        <w:tc>
          <w:tcPr>
            <w:tcW w:w="35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法规</w:t>
            </w:r>
          </w:p>
        </w:tc>
        <w:tc>
          <w:tcPr>
            <w:tcW w:w="4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区人社局</w:t>
            </w:r>
          </w:p>
        </w:tc>
        <w:tc>
          <w:tcPr>
            <w:tcW w:w="43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交通管理部门等</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在抢险救灾等维护国家利益、公共利益活动中受到伤害证明</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工伤认定</w:t>
            </w:r>
          </w:p>
        </w:tc>
        <w:tc>
          <w:tcPr>
            <w:tcW w:w="10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《工伤保险条例》第十八条第一款：提出工伤认定申请应当提交下列材料：（一）工伤认定申请表；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认定办法》附件中规定的工伤认定申请填表说明要求：有下列情形之一的，还应当分别提交相应证据：……（六）在抢险救灾等维护国家利益、公共利益活动中受到伤害的，提交民政部门或者其他相关部门的证明；</w:t>
            </w:r>
          </w:p>
        </w:tc>
        <w:tc>
          <w:tcPr>
            <w:tcW w:w="35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法规</w:t>
            </w:r>
          </w:p>
        </w:tc>
        <w:tc>
          <w:tcPr>
            <w:tcW w:w="4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区人社局</w:t>
            </w:r>
          </w:p>
        </w:tc>
        <w:tc>
          <w:tcPr>
            <w:tcW w:w="43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民政部门等</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劳动能力鉴定机构对旧伤复发的确认</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工伤认定</w:t>
            </w:r>
          </w:p>
        </w:tc>
        <w:tc>
          <w:tcPr>
            <w:tcW w:w="10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《工伤保险条例》第十八条第一款：提出工伤认定申请应当提交下列材料：（一）工伤认定申请表；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认定办法》附件中规定的工伤认定申请填表说明要求：有下列情形之一的，还应当分别提交相应证据：……（七）属于因战、因公负伤致残的转业、复员军人，旧伤复发的，提交《革命伤残军人证》及劳动能力鉴定机构对旧伤复发的确认。</w:t>
            </w:r>
          </w:p>
        </w:tc>
        <w:tc>
          <w:tcPr>
            <w:tcW w:w="35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法规</w:t>
            </w:r>
          </w:p>
        </w:tc>
        <w:tc>
          <w:tcPr>
            <w:tcW w:w="4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区人社局</w:t>
            </w:r>
          </w:p>
        </w:tc>
        <w:tc>
          <w:tcPr>
            <w:tcW w:w="43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劳动能力鉴定机构</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医疗诊断证明或者职业病诊断证明书（或者职业病诊断鉴定书）</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工伤认定</w:t>
            </w:r>
          </w:p>
        </w:tc>
        <w:tc>
          <w:tcPr>
            <w:tcW w:w="10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《工伤保险条例》第十八条第一款：提出工伤认定申请应当提交下列材料：……（三）医疗诊断证明或者职业病诊断证明书（或者职业病诊断鉴定书）</w:t>
            </w:r>
          </w:p>
        </w:tc>
        <w:tc>
          <w:tcPr>
            <w:tcW w:w="35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法规</w:t>
            </w:r>
          </w:p>
        </w:tc>
        <w:tc>
          <w:tcPr>
            <w:tcW w:w="4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区人社局</w:t>
            </w:r>
          </w:p>
        </w:tc>
        <w:tc>
          <w:tcPr>
            <w:tcW w:w="43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医疗机构</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劳动关系证明</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工伤认定</w:t>
            </w:r>
          </w:p>
        </w:tc>
        <w:tc>
          <w:tcPr>
            <w:tcW w:w="10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《工伤保险条例》第十八条第一款：提出工伤认定申请应当提交下列材料：……（二）与用人单位存在劳动关系（包括事实劳动关系）的证明材料；</w:t>
            </w:r>
          </w:p>
        </w:tc>
        <w:tc>
          <w:tcPr>
            <w:tcW w:w="35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法规</w:t>
            </w:r>
          </w:p>
        </w:tc>
        <w:tc>
          <w:tcPr>
            <w:tcW w:w="4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区人社局</w:t>
            </w:r>
          </w:p>
        </w:tc>
        <w:tc>
          <w:tcPr>
            <w:tcW w:w="43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用人单位等</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被供养亲属关系及经济来源证明</w:t>
            </w:r>
          </w:p>
        </w:tc>
        <w:tc>
          <w:tcPr>
            <w:tcW w:w="51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lang w:eastAsia="zh-CN"/>
              </w:rPr>
              <w:t>用于支付</w:t>
            </w:r>
            <w:r>
              <w:rPr>
                <w:rFonts w:hint="eastAsia" w:ascii="仿宋_GB2312" w:hAnsi="仿宋_GB2312" w:eastAsia="仿宋_GB2312" w:cs="仿宋_GB2312"/>
                <w:b w:val="0"/>
                <w:bCs w:val="0"/>
                <w:color w:val="auto"/>
                <w:sz w:val="21"/>
                <w:szCs w:val="21"/>
              </w:rPr>
              <w:t>供养亲属抚恤金</w:t>
            </w:r>
          </w:p>
        </w:tc>
        <w:tc>
          <w:tcPr>
            <w:tcW w:w="101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工伤保险条例</w:t>
            </w:r>
            <w:r>
              <w:rPr>
                <w:rFonts w:hint="eastAsia" w:ascii="仿宋_GB2312" w:hAnsi="仿宋_GB2312" w:eastAsia="仿宋_GB2312" w:cs="仿宋_GB2312"/>
                <w:b w:val="0"/>
                <w:bCs w:val="0"/>
                <w:color w:val="auto"/>
                <w:sz w:val="21"/>
                <w:szCs w:val="21"/>
                <w:lang w:eastAsia="zh-CN"/>
              </w:rPr>
              <w:t>》</w:t>
            </w:r>
            <w:r>
              <w:rPr>
                <w:rStyle w:val="9"/>
                <w:rFonts w:hint="eastAsia" w:ascii="仿宋_GB2312" w:hAnsi="仿宋_GB2312" w:eastAsia="仿宋_GB2312" w:cs="仿宋_GB2312"/>
                <w:b w:val="0"/>
                <w:bCs w:val="0"/>
                <w:i w:val="0"/>
                <w:caps w:val="0"/>
                <w:color w:val="auto"/>
                <w:spacing w:val="0"/>
                <w:sz w:val="21"/>
                <w:szCs w:val="21"/>
              </w:rPr>
              <w:t>第</w:t>
            </w:r>
            <w:r>
              <w:rPr>
                <w:rStyle w:val="9"/>
                <w:rFonts w:hint="eastAsia" w:ascii="仿宋_GB2312" w:hAnsi="仿宋_GB2312" w:eastAsia="仿宋_GB2312" w:cs="仿宋_GB2312"/>
                <w:b w:val="0"/>
                <w:bCs w:val="0"/>
                <w:i w:val="0"/>
                <w:caps w:val="0"/>
                <w:color w:val="auto"/>
                <w:spacing w:val="0"/>
                <w:sz w:val="21"/>
                <w:szCs w:val="21"/>
                <w:lang w:val="en-US" w:eastAsia="zh-CN"/>
              </w:rPr>
              <w:t>39</w:t>
            </w:r>
            <w:r>
              <w:rPr>
                <w:rStyle w:val="9"/>
                <w:rFonts w:hint="eastAsia" w:ascii="仿宋_GB2312" w:hAnsi="仿宋_GB2312" w:eastAsia="仿宋_GB2312" w:cs="仿宋_GB2312"/>
                <w:b w:val="0"/>
                <w:bCs w:val="0"/>
                <w:i w:val="0"/>
                <w:caps w:val="0"/>
                <w:color w:val="auto"/>
                <w:spacing w:val="0"/>
                <w:sz w:val="21"/>
                <w:szCs w:val="21"/>
              </w:rPr>
              <w:t>条</w:t>
            </w:r>
            <w:r>
              <w:rPr>
                <w:rFonts w:hint="eastAsia" w:ascii="仿宋_GB2312" w:hAnsi="仿宋_GB2312" w:eastAsia="仿宋_GB2312" w:cs="仿宋_GB2312"/>
                <w:b w:val="0"/>
                <w:bCs w:val="0"/>
                <w:i w:val="0"/>
                <w:caps w:val="0"/>
                <w:color w:val="auto"/>
                <w:spacing w:val="0"/>
                <w:sz w:val="21"/>
                <w:szCs w:val="21"/>
              </w:rPr>
              <w:t>职工因工死亡，其近亲属按照下列规定从工伤保险基金领取丧葬补助金、供养亲属抚恤金和一次性工亡补助金：</w:t>
            </w:r>
            <w:r>
              <w:rPr>
                <w:rFonts w:hint="eastAsia" w:ascii="仿宋_GB2312" w:hAnsi="仿宋_GB2312" w:eastAsia="仿宋_GB2312" w:cs="仿宋_GB2312"/>
                <w:b w:val="0"/>
                <w:bCs w:val="0"/>
                <w:i w:val="0"/>
                <w:caps w:val="0"/>
                <w:color w:val="auto"/>
                <w:spacing w:val="0"/>
                <w:sz w:val="21"/>
                <w:szCs w:val="21"/>
              </w:rPr>
              <w:br w:type="textWrapping"/>
            </w:r>
            <w:r>
              <w:rPr>
                <w:rFonts w:hint="eastAsia" w:ascii="仿宋_GB2312" w:hAnsi="仿宋_GB2312" w:eastAsia="仿宋_GB2312" w:cs="仿宋_GB2312"/>
                <w:b w:val="0"/>
                <w:bCs w:val="0"/>
                <w:i w:val="0"/>
                <w:caps w:val="0"/>
                <w:color w:val="auto"/>
                <w:spacing w:val="0"/>
                <w:sz w:val="21"/>
                <w:szCs w:val="21"/>
              </w:rPr>
              <w:t>（一）丧葬补助金为6个月的统筹地区上年度职工月平均工资；</w:t>
            </w:r>
            <w:r>
              <w:rPr>
                <w:rFonts w:hint="eastAsia" w:ascii="仿宋_GB2312" w:hAnsi="仿宋_GB2312" w:eastAsia="仿宋_GB2312" w:cs="仿宋_GB2312"/>
                <w:b w:val="0"/>
                <w:bCs w:val="0"/>
                <w:i w:val="0"/>
                <w:caps w:val="0"/>
                <w:color w:val="auto"/>
                <w:spacing w:val="0"/>
                <w:sz w:val="21"/>
                <w:szCs w:val="21"/>
              </w:rPr>
              <w:br w:type="textWrapping"/>
            </w:r>
            <w:r>
              <w:rPr>
                <w:rFonts w:hint="eastAsia" w:ascii="仿宋_GB2312" w:hAnsi="仿宋_GB2312" w:eastAsia="仿宋_GB2312" w:cs="仿宋_GB2312"/>
                <w:b w:val="0"/>
                <w:bCs w:val="0"/>
                <w:i w:val="0"/>
                <w:caps w:val="0"/>
                <w:color w:val="auto"/>
                <w:spacing w:val="0"/>
                <w:sz w:val="21"/>
                <w:szCs w:val="21"/>
              </w:rPr>
              <w:t>（二）供养亲属抚恤金按照职工本人工资的一定比例发给由因工死亡职工生前提供主要生活来源、无劳动能力的亲属。标准为：配偶每月40%，其他亲属每人每月30%，孤寡老人或者孤儿每人每月在上述标准的基础上增加10%。核定的各供养亲属的抚恤金之和不应高于因工死亡职工生前的工资。供养亲属的具体范围由国务院社会保险行政部门规定；</w:t>
            </w:r>
            <w:r>
              <w:rPr>
                <w:rFonts w:hint="eastAsia" w:ascii="仿宋_GB2312" w:hAnsi="仿宋_GB2312" w:eastAsia="仿宋_GB2312" w:cs="仿宋_GB2312"/>
                <w:b w:val="0"/>
                <w:bCs w:val="0"/>
                <w:i w:val="0"/>
                <w:caps w:val="0"/>
                <w:color w:val="auto"/>
                <w:spacing w:val="0"/>
                <w:sz w:val="21"/>
                <w:szCs w:val="21"/>
              </w:rPr>
              <w:br w:type="textWrapping"/>
            </w:r>
            <w:r>
              <w:rPr>
                <w:rFonts w:hint="eastAsia" w:ascii="仿宋_GB2312" w:hAnsi="仿宋_GB2312" w:eastAsia="仿宋_GB2312" w:cs="仿宋_GB2312"/>
                <w:b w:val="0"/>
                <w:bCs w:val="0"/>
                <w:i w:val="0"/>
                <w:caps w:val="0"/>
                <w:color w:val="auto"/>
                <w:spacing w:val="0"/>
                <w:sz w:val="21"/>
                <w:szCs w:val="21"/>
              </w:rPr>
              <w:t>（三）一次性工亡补助金标准为上一年度全国城镇居民人均可支配收入的20倍。</w:t>
            </w:r>
            <w:r>
              <w:rPr>
                <w:rFonts w:hint="eastAsia" w:ascii="仿宋_GB2312" w:hAnsi="仿宋_GB2312" w:eastAsia="仿宋_GB2312" w:cs="仿宋_GB2312"/>
                <w:b w:val="0"/>
                <w:bCs w:val="0"/>
                <w:i w:val="0"/>
                <w:caps w:val="0"/>
                <w:color w:val="auto"/>
                <w:spacing w:val="0"/>
                <w:sz w:val="21"/>
                <w:szCs w:val="21"/>
              </w:rPr>
              <w:br w:type="textWrapping"/>
            </w:r>
            <w:r>
              <w:rPr>
                <w:rFonts w:hint="eastAsia" w:ascii="仿宋_GB2312" w:hAnsi="仿宋_GB2312" w:eastAsia="仿宋_GB2312" w:cs="仿宋_GB2312"/>
                <w:b w:val="0"/>
                <w:bCs w:val="0"/>
                <w:i w:val="0"/>
                <w:caps w:val="0"/>
                <w:color w:val="auto"/>
                <w:spacing w:val="0"/>
                <w:sz w:val="21"/>
                <w:szCs w:val="21"/>
              </w:rPr>
              <w:t>伤残职工在停工留薪期内因工伤导致死亡的，其近亲属享受本条第一款规定的待遇。</w:t>
            </w:r>
            <w:r>
              <w:rPr>
                <w:rFonts w:hint="eastAsia" w:ascii="仿宋_GB2312" w:hAnsi="仿宋_GB2312" w:eastAsia="仿宋_GB2312" w:cs="仿宋_GB2312"/>
                <w:b w:val="0"/>
                <w:bCs w:val="0"/>
                <w:i w:val="0"/>
                <w:caps w:val="0"/>
                <w:color w:val="auto"/>
                <w:spacing w:val="0"/>
                <w:sz w:val="21"/>
                <w:szCs w:val="21"/>
              </w:rPr>
              <w:br w:type="textWrapping"/>
            </w:r>
            <w:r>
              <w:rPr>
                <w:rFonts w:hint="eastAsia" w:ascii="仿宋_GB2312" w:hAnsi="仿宋_GB2312" w:eastAsia="仿宋_GB2312" w:cs="仿宋_GB2312"/>
                <w:b w:val="0"/>
                <w:bCs w:val="0"/>
                <w:i w:val="0"/>
                <w:caps w:val="0"/>
                <w:color w:val="auto"/>
                <w:spacing w:val="0"/>
                <w:sz w:val="21"/>
                <w:szCs w:val="21"/>
              </w:rPr>
              <w:t>一级至四级伤残职工在停工留薪期满后死亡的，其近亲属可以享受本条第一款第（一）项、第（二）项规定的待遇。</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行政</w:t>
            </w:r>
          </w:p>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法规</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lang w:val="en-US" w:eastAsia="zh-CN"/>
              </w:rPr>
              <w:t>区人社局</w:t>
            </w:r>
          </w:p>
        </w:tc>
        <w:tc>
          <w:tcPr>
            <w:tcW w:w="434"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被供养人户籍所在地街道办事处或乡镇人民政府</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sz w:val="21"/>
                <w:szCs w:val="21"/>
              </w:rPr>
              <w:t>家庭经济困难证明</w:t>
            </w:r>
          </w:p>
        </w:tc>
        <w:tc>
          <w:tcPr>
            <w:tcW w:w="5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rPr>
              <w:t>公民申请法律援助</w:t>
            </w:r>
          </w:p>
        </w:tc>
        <w:tc>
          <w:tcPr>
            <w:tcW w:w="1019"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rPr>
              <w:t>《陕西省法律援助条例》第</w:t>
            </w:r>
            <w:r>
              <w:rPr>
                <w:rFonts w:hint="eastAsia" w:ascii="仿宋_GB2312" w:hAnsi="仿宋_GB2312" w:eastAsia="仿宋_GB2312" w:cs="仿宋_GB2312"/>
                <w:color w:val="auto"/>
                <w:sz w:val="21"/>
                <w:szCs w:val="21"/>
                <w:lang w:val="en-US" w:eastAsia="zh-CN"/>
              </w:rPr>
              <w:t>18</w:t>
            </w:r>
            <w:r>
              <w:rPr>
                <w:rFonts w:hint="eastAsia" w:ascii="仿宋_GB2312" w:hAnsi="仿宋_GB2312" w:eastAsia="仿宋_GB2312" w:cs="仿宋_GB2312"/>
                <w:color w:val="auto"/>
                <w:sz w:val="21"/>
                <w:szCs w:val="21"/>
              </w:rPr>
              <w:t>条规定</w:t>
            </w:r>
            <w:r>
              <w:rPr>
                <w:rFonts w:hint="eastAsia" w:ascii="仿宋_GB2312" w:hAnsi="仿宋_GB2312" w:eastAsia="仿宋_GB2312" w:cs="仿宋_GB2312"/>
                <w:color w:val="auto"/>
                <w:sz w:val="21"/>
                <w:szCs w:val="21"/>
                <w:lang w:eastAsia="zh-CN"/>
              </w:rPr>
              <w:t>，公民申请法律援助的，应当提交下列证明及材料……(二)城乡居民最低生活保障证或者所在工作单位、乡(镇)人民政府、街道办事处出具的申请人及家庭经济状况的证明……</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行政</w:t>
            </w:r>
          </w:p>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法规</w:t>
            </w:r>
          </w:p>
        </w:tc>
        <w:tc>
          <w:tcPr>
            <w:tcW w:w="41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vertAlign w:val="baseline"/>
                <w:lang w:val="en-US" w:eastAsia="zh-CN"/>
              </w:rPr>
              <w:t>区法律援助中心</w:t>
            </w:r>
          </w:p>
        </w:tc>
        <w:tc>
          <w:tcPr>
            <w:tcW w:w="43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rPr>
              <w:t>村</w:t>
            </w:r>
            <w:r>
              <w:rPr>
                <w:rFonts w:hint="eastAsia" w:ascii="仿宋_GB2312" w:hAnsi="仿宋_GB2312" w:eastAsia="仿宋_GB2312" w:cs="仿宋_GB2312"/>
                <w:color w:val="auto"/>
                <w:sz w:val="21"/>
                <w:szCs w:val="21"/>
                <w:lang w:eastAsia="zh-CN"/>
              </w:rPr>
              <w:t>委会</w:t>
            </w:r>
            <w:r>
              <w:rPr>
                <w:rFonts w:hint="eastAsia" w:ascii="仿宋_GB2312" w:hAnsi="仿宋_GB2312" w:eastAsia="仿宋_GB2312" w:cs="仿宋_GB2312"/>
                <w:color w:val="auto"/>
                <w:sz w:val="21"/>
                <w:szCs w:val="21"/>
              </w:rPr>
              <w:t>（社区</w:t>
            </w:r>
            <w:r>
              <w:rPr>
                <w:rFonts w:hint="eastAsia" w:ascii="仿宋_GB2312" w:hAnsi="仿宋_GB2312" w:eastAsia="仿宋_GB2312" w:cs="仿宋_GB2312"/>
                <w:color w:val="auto"/>
                <w:sz w:val="21"/>
                <w:szCs w:val="21"/>
                <w:lang w:eastAsia="zh-CN"/>
              </w:rPr>
              <w:t>居委会</w:t>
            </w:r>
            <w:r>
              <w:rPr>
                <w:rFonts w:hint="eastAsia" w:ascii="仿宋_GB2312" w:hAnsi="仿宋_GB2312" w:eastAsia="仿宋_GB2312" w:cs="仿宋_GB2312"/>
                <w:color w:val="auto"/>
                <w:sz w:val="21"/>
                <w:szCs w:val="21"/>
              </w:rPr>
              <w:t>）</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vertAlign w:val="baseline"/>
                <w:lang w:val="en-US" w:eastAsia="zh-CN"/>
              </w:rPr>
              <w:t>验资报告</w:t>
            </w:r>
          </w:p>
        </w:tc>
        <w:tc>
          <w:tcPr>
            <w:tcW w:w="511" w:type="pct"/>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1"/>
                <w:szCs w:val="21"/>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1.实施中等及中等以下学历教育、学前教育、自学考试助学及其他文化教育的学校设立、变更和终止审批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vertAlign w:val="baseline"/>
                <w:lang w:val="en-US" w:eastAsia="zh-CN"/>
              </w:rPr>
              <w:t>2.办理民办非企业单位成立登记、变更登记</w:t>
            </w:r>
          </w:p>
        </w:tc>
        <w:tc>
          <w:tcPr>
            <w:tcW w:w="10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1.《中华人民共和国民办教育促进法》</w:t>
            </w:r>
            <w:r>
              <w:rPr>
                <w:rFonts w:hint="eastAsia" w:ascii="仿宋_GB2312" w:hAnsi="仿宋_GB2312" w:eastAsia="仿宋_GB2312" w:cs="仿宋_GB2312"/>
                <w:color w:val="auto"/>
                <w:sz w:val="21"/>
                <w:szCs w:val="21"/>
                <w:vertAlign w:val="baseline"/>
                <w:lang w:val="en-US" w:eastAsia="zh-CN"/>
              </w:rPr>
              <w:t>第39条  民办学校资产的使用和财务管理受审批机关和其他有关部门的监督。 民办学校应当在每个会计年度结束时制作财务会计报告，委托会计师事务所依法进行审计，并公布审计结果。</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3.《民办非企业单位登记管理暂行条例》</w:t>
            </w:r>
            <w:r>
              <w:rPr>
                <w:rFonts w:hint="eastAsia" w:ascii="仿宋_GB2312" w:hAnsi="仿宋_GB2312" w:eastAsia="仿宋_GB2312" w:cs="仿宋_GB2312"/>
                <w:color w:val="auto"/>
                <w:sz w:val="21"/>
                <w:szCs w:val="21"/>
                <w:vertAlign w:val="baseline"/>
                <w:lang w:val="en-US" w:eastAsia="zh-CN"/>
              </w:rPr>
              <w:t>第9条  申请民办非企业单位登记，举办者应当向登记管理机关提交下列文件：…（四）验资报告；</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vertAlign w:val="baseline"/>
                <w:lang w:val="en-US" w:eastAsia="zh-CN"/>
              </w:rPr>
              <w:t>第12条 民办非企业单位的住所、业务范围、法定代表人或单位负责人、开办资金、业务主管单位发生变更的，除向登记管理机关提交本办法第十一条规定的文件外，还须分别提交下列材料：变更后的验资报告。</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法律、</w:t>
            </w:r>
          </w:p>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行政</w:t>
            </w:r>
          </w:p>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法规</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区行政审批局</w:t>
            </w:r>
          </w:p>
        </w:tc>
        <w:tc>
          <w:tcPr>
            <w:tcW w:w="434"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vertAlign w:val="baseline"/>
                <w:lang w:val="en-US" w:eastAsia="zh-CN"/>
              </w:rPr>
              <w:t>有资质的会计师事务所</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验资报告</w:t>
            </w:r>
          </w:p>
        </w:tc>
        <w:tc>
          <w:tcPr>
            <w:tcW w:w="511" w:type="pct"/>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劳务派遣经营许可证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仿宋_GB2312" w:hAnsi="仿宋_GB2312" w:eastAsia="仿宋_GB2312" w:cs="仿宋_GB2312"/>
                <w:color w:val="auto"/>
                <w:sz w:val="21"/>
                <w:szCs w:val="21"/>
                <w:vertAlign w:val="baseline"/>
                <w:lang w:val="en-US" w:eastAsia="zh-CN"/>
              </w:rPr>
            </w:pPr>
          </w:p>
        </w:tc>
        <w:tc>
          <w:tcPr>
            <w:tcW w:w="10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《劳务派遣行政许可实施办法》（2013年人力资源和社会保障部令第19号）</w:t>
            </w:r>
            <w:r>
              <w:rPr>
                <w:rFonts w:hint="eastAsia" w:ascii="仿宋_GB2312" w:hAnsi="仿宋_GB2312" w:eastAsia="仿宋_GB2312" w:cs="仿宋_GB2312"/>
                <w:color w:val="auto"/>
                <w:sz w:val="21"/>
                <w:szCs w:val="21"/>
                <w:vertAlign w:val="baseline"/>
                <w:lang w:val="en-US" w:eastAsia="zh-CN"/>
              </w:rPr>
              <w:t xml:space="preserve">第8条  </w:t>
            </w:r>
            <w:r>
              <w:rPr>
                <w:rFonts w:hint="eastAsia" w:ascii="仿宋_GB2312" w:hAnsi="仿宋_GB2312" w:eastAsia="仿宋_GB2312" w:cs="仿宋_GB2312"/>
                <w:color w:val="000000"/>
                <w:sz w:val="21"/>
                <w:szCs w:val="21"/>
                <w:u w:val="none"/>
              </w:rPr>
              <w:t>申请经营劳务派遣业务的，申请人应当向许可机关提交下列材料：</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 xml:space="preserve"> </w:t>
            </w:r>
            <w:r>
              <w:rPr>
                <w:rFonts w:hint="eastAsia" w:ascii="仿宋_GB2312" w:hAnsi="仿宋_GB2312" w:eastAsia="仿宋_GB2312" w:cs="仿宋_GB2312"/>
                <w:color w:val="auto"/>
                <w:kern w:val="0"/>
                <w:sz w:val="21"/>
                <w:szCs w:val="21"/>
                <w:lang w:eastAsia="zh-CN"/>
              </w:rPr>
              <w:t>（三）</w:t>
            </w:r>
            <w:r>
              <w:rPr>
                <w:rFonts w:hint="eastAsia" w:ascii="仿宋_GB2312" w:hAnsi="仿宋_GB2312" w:eastAsia="仿宋_GB2312" w:cs="仿宋_GB2312"/>
                <w:color w:val="auto"/>
                <w:sz w:val="21"/>
                <w:szCs w:val="21"/>
                <w:vertAlign w:val="baseline"/>
                <w:lang w:val="en-US" w:eastAsia="zh-CN"/>
              </w:rPr>
              <w:t>公司章程以及验资机构出具的验资报告或者财务审计报告。</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b w:val="0"/>
                <w:bCs w:val="0"/>
                <w:color w:val="auto"/>
                <w:sz w:val="21"/>
                <w:szCs w:val="21"/>
                <w:vertAlign w:val="baseline"/>
                <w:lang w:val="en-US" w:eastAsia="zh-CN"/>
              </w:rPr>
            </w:pP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部门</w:t>
            </w:r>
          </w:p>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规章</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区行政审批局</w:t>
            </w:r>
          </w:p>
        </w:tc>
        <w:tc>
          <w:tcPr>
            <w:tcW w:w="434"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有资质的会计师事务所</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0" w:leftChars="0" w:firstLine="0" w:firstLineChars="0"/>
              <w:jc w:val="both"/>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燃气设施的防雷电防静电测试报告</w:t>
            </w:r>
          </w:p>
        </w:tc>
        <w:tc>
          <w:tcPr>
            <w:tcW w:w="51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燃气经营许可</w:t>
            </w:r>
          </w:p>
        </w:tc>
        <w:tc>
          <w:tcPr>
            <w:tcW w:w="1019"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《西安市燃气管理条例》第十八条申请燃气经营许可证的企业，应当向燃气行政管理部门提交以下资料：</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sz w:val="21"/>
                <w:szCs w:val="21"/>
              </w:rPr>
              <w:t>（二）燃气设施的防雷电防静电测试报告；</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地方性法规</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区行政审批局</w:t>
            </w:r>
          </w:p>
        </w:tc>
        <w:tc>
          <w:tcPr>
            <w:tcW w:w="43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第三方检测机构</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0" w:leftChars="0" w:firstLine="0" w:firstLineChars="0"/>
              <w:jc w:val="both"/>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燃气设施的压力表、安全阀和燃气场所的消防器材的校验报告</w:t>
            </w:r>
          </w:p>
        </w:tc>
        <w:tc>
          <w:tcPr>
            <w:tcW w:w="51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燃气经营许可</w:t>
            </w:r>
          </w:p>
        </w:tc>
        <w:tc>
          <w:tcPr>
            <w:tcW w:w="1019"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《西安市燃气管理条例》第十八条申请燃气经营许可证的企业，应当向燃气行政管理部门提交以下资料：</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sz w:val="21"/>
                <w:szCs w:val="21"/>
              </w:rPr>
              <w:t>（四）燃气设施的压力表、安全阀和燃气场所的消防器材的校验报告；</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地方性法规</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区行政审批局</w:t>
            </w:r>
          </w:p>
        </w:tc>
        <w:tc>
          <w:tcPr>
            <w:tcW w:w="43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第三方检测机构</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0" w:leftChars="0" w:firstLine="0" w:firstLineChars="0"/>
              <w:jc w:val="both"/>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燃气设施工程和设施的安全评估报告</w:t>
            </w:r>
          </w:p>
        </w:tc>
        <w:tc>
          <w:tcPr>
            <w:tcW w:w="51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燃气经营许可</w:t>
            </w:r>
          </w:p>
        </w:tc>
        <w:tc>
          <w:tcPr>
            <w:tcW w:w="1019"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《西安市燃气管理条例》第十八条申请燃气经营许可证的企业，应当向燃气行政管理部门提交以下资料：</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sz w:val="21"/>
                <w:szCs w:val="21"/>
              </w:rPr>
              <w:t>（七）燃气设施工程和设施的安全评估报告；</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地方性法规</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区行政审批局</w:t>
            </w:r>
          </w:p>
        </w:tc>
        <w:tc>
          <w:tcPr>
            <w:tcW w:w="43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第三方检测机构</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0" w:leftChars="0" w:firstLine="0" w:firstLineChars="0"/>
              <w:jc w:val="both"/>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工作经历证明</w:t>
            </w:r>
          </w:p>
        </w:tc>
        <w:tc>
          <w:tcPr>
            <w:tcW w:w="51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药品经营许可证/第三类医疗器械经营许可证</w:t>
            </w:r>
          </w:p>
        </w:tc>
        <w:tc>
          <w:tcPr>
            <w:tcW w:w="10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《药品经营许可证管理办法》第二章 第五条（二）具有依法经过资格认定的药学技术人员；经营处方药、甲类非处方药的药品零售企业，必须配有执业药师或者其他依法经过资格认定的药学技术人员。质量负责人应有一年以上（含一年）药品经营质量管理工作经验。</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《药品经营许可证管理办法》第三章 第九条（一）申办人向拟办企业所在地设区的市级食品药品监督管理部门或省、自治区、直辖市食品药品监督管理部门直接设置的县级食品药品监督管理部门提出筹建申请，并提交以下材料：拟办企业法定代表人、企业负责人、质量负责人的学历、执业资格或职称证明原件、复印件及个人简历及专业技术人员资格证书、聘书。</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器械经营质量管理规范》第十一条企业应当具有与经营范围和经营规模相适应的质量管理机构或者质量管理人员，质量管理人员应当具有国家认可的相关专业学历或者职称。第三类医疗器械经营企业质量负责人应当具备医疗器械相关专业（相关专业指医疗器械、生物医学工程、机械、电子、医学、生物工程、化学、药学、护理学、康复、检验学、管理等专业，下同）大专以上学历或者中级以上专业技术职称，同时应当具有3年以上医疗器械经营质量管理工作经历。</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sz w:val="21"/>
                <w:szCs w:val="21"/>
              </w:rPr>
              <w:t>《医疗器械经营质量管理规范》第十二条企业应当设置或者配备与经营范围和经营规模相适应的，并符合相关资格要求的质量管理、经营等关键岗位人员。第三类医疗器械经营企业从事质量管理工作的人员应当在职在岗。（一）从事体外诊断试剂的质量管理人员中，应当有1人为主管检验师，或具有检验学相关专业大学以上学历并从事检验相关工作3年以上工作经历。从事体外诊断试剂验收和售后服务工作的人员，应当具有检验学相关专业中专以上学历或者具有检验师初级以上专业技术职称。</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部门</w:t>
            </w:r>
          </w:p>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规章</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区行政审批局</w:t>
            </w:r>
          </w:p>
        </w:tc>
        <w:tc>
          <w:tcPr>
            <w:tcW w:w="434" w:type="pct"/>
            <w:noWrap w:val="0"/>
            <w:vAlign w:val="center"/>
          </w:tcPr>
          <w:p>
            <w:pPr>
              <w:ind w:left="0" w:leftChars="0" w:firstLine="0" w:firstLineChars="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药店/医疗机构企业</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0" w:leftChars="0" w:firstLine="0" w:firstLineChars="0"/>
              <w:jc w:val="both"/>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检测报告</w:t>
            </w:r>
          </w:p>
        </w:tc>
        <w:tc>
          <w:tcPr>
            <w:tcW w:w="51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公共卫生许可、生活饮用水许可</w:t>
            </w:r>
          </w:p>
        </w:tc>
        <w:tc>
          <w:tcPr>
            <w:tcW w:w="10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《公共场所卫生管理条例实施细则》第二十三条 公共场所经营者申请卫生许可证的，应当提交下列资料：（四）公共场所卫生检测或者评价报告。使用集中空调通风系统的，还应当提供集中空调通风系统卫生检测或者评价报告。</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sz w:val="21"/>
                <w:szCs w:val="21"/>
              </w:rPr>
              <w:t>《生活饮用水卫生监督管理办法》第十条 集中式供水单位必须有水质净化消毒设施及必要的水质检验仪器、设备和人员，对水质进行日常性检验，并向当地人民政府卫生行政部门和建设行政主管部门报送检测资料</w:t>
            </w:r>
            <w:r>
              <w:rPr>
                <w:rFonts w:hint="eastAsia" w:ascii="仿宋_GB2312" w:hAnsi="仿宋_GB2312" w:eastAsia="仿宋_GB2312" w:cs="仿宋_GB2312"/>
                <w:sz w:val="21"/>
                <w:szCs w:val="21"/>
                <w:lang w:eastAsia="zh-CN"/>
              </w:rPr>
              <w:t>。</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部门</w:t>
            </w:r>
          </w:p>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规章</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区行政审批局</w:t>
            </w:r>
          </w:p>
        </w:tc>
        <w:tc>
          <w:tcPr>
            <w:tcW w:w="434" w:type="pct"/>
            <w:noWrap w:val="0"/>
            <w:vAlign w:val="center"/>
          </w:tcPr>
          <w:p>
            <w:pPr>
              <w:ind w:left="0" w:leftChars="0" w:firstLine="0" w:firstLineChars="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有CMA认证的第三方检测公司</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0" w:leftChars="0" w:firstLine="0" w:firstLineChars="0"/>
              <w:jc w:val="both"/>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清算报告</w:t>
            </w:r>
          </w:p>
        </w:tc>
        <w:tc>
          <w:tcPr>
            <w:tcW w:w="51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民办非企业单位注销登记</w:t>
            </w:r>
          </w:p>
        </w:tc>
        <w:tc>
          <w:tcPr>
            <w:tcW w:w="10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sz w:val="21"/>
                <w:szCs w:val="21"/>
              </w:rPr>
              <w:t>《民办非企业单位登记暂行办法》第十八条 民办非企业单位根据条例第十六条的规定申请注销登记时，应向登记管理机关提交下列文件：（三）清算组织提出的清算报告</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部门</w:t>
            </w:r>
          </w:p>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规章</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区行政审批局</w:t>
            </w:r>
          </w:p>
        </w:tc>
        <w:tc>
          <w:tcPr>
            <w:tcW w:w="434" w:type="pct"/>
            <w:noWrap w:val="0"/>
            <w:vAlign w:val="center"/>
          </w:tcPr>
          <w:p>
            <w:pPr>
              <w:ind w:left="0" w:leftChars="0" w:firstLine="0" w:firstLineChars="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有资质的会计事务所</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0" w:leftChars="0" w:firstLine="0" w:firstLineChars="0"/>
              <w:jc w:val="both"/>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业务主管单位同意文件</w:t>
            </w:r>
          </w:p>
        </w:tc>
        <w:tc>
          <w:tcPr>
            <w:tcW w:w="51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民办非企业单位注销登记</w:t>
            </w:r>
          </w:p>
        </w:tc>
        <w:tc>
          <w:tcPr>
            <w:tcW w:w="10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《民办非企业单位登记暂行办法》第十八条 民办非企业单位根据条例第十六条的规定申请注销登记时，应向登记管理机关提交下列文件：（二）业务主管单位审查同意的文件</w:t>
            </w:r>
            <w:r>
              <w:rPr>
                <w:rFonts w:hint="eastAsia" w:ascii="仿宋_GB2312" w:hAnsi="仿宋_GB2312" w:eastAsia="仿宋_GB2312" w:cs="仿宋_GB2312"/>
                <w:sz w:val="21"/>
                <w:szCs w:val="21"/>
                <w:lang w:eastAsia="zh-CN"/>
              </w:rPr>
              <w:t>。</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《民办非企业单位登记暂行办法》第十一条 民办非企业单位根据条例第十五条规定申请变更登记事项时，应向登记管理机关提交下列文件：（二）业务主管单位对变更登记事项审查同意的文件。</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sz w:val="21"/>
                <w:szCs w:val="21"/>
              </w:rPr>
              <w:t>《民办非企业单位登记管理暂行条例》第九条申请民办非企业单位登记，举办者应当向登记管理机关提交下列文件：（二）业务主管单位的批准文件。（国家）</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部门</w:t>
            </w:r>
          </w:p>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规章</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区行政审批局</w:t>
            </w:r>
          </w:p>
        </w:tc>
        <w:tc>
          <w:tcPr>
            <w:tcW w:w="434" w:type="pct"/>
            <w:noWrap w:val="0"/>
            <w:vAlign w:val="center"/>
          </w:tcPr>
          <w:p>
            <w:pPr>
              <w:ind w:left="0" w:leftChars="0" w:firstLine="0" w:firstLineChars="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业务主管单位</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0" w:leftChars="0" w:firstLine="0" w:firstLineChars="0"/>
              <w:jc w:val="both"/>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职业病危害放射防护预评价报告；职业病危害控制效果放射防护评价报告；放射诊疗建设项目竣工验收合格证明文件</w:t>
            </w:r>
          </w:p>
        </w:tc>
        <w:tc>
          <w:tcPr>
            <w:tcW w:w="51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1.医疗机构放射性职业病危害建设项目预评价报告审核2.医疗机构放射性职业病危害建设项目竣工验收3.放射诊疗许可新办、变更、延续</w:t>
            </w:r>
          </w:p>
        </w:tc>
        <w:tc>
          <w:tcPr>
            <w:tcW w:w="10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《放射诊疗管理规定》 第十二条 新建、扩建、改建放射诊疗建设项目，医疗机构应当在建设项目施工前向相应的卫生行政部门提交职业病危害放射防护预评价报告，申请进行建设项目卫生审查。</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医疗机构在放射诊疗建设项目竣工验收前，应当进行职业病危害控制效果评价；并向相应的卫生行政部门提交下列资料，申请卫生验收：（三）职业病危害控制效果放射防护评价报告。</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医疗机构在开展放射诊疗工作前，应当提交下列资料，向相应的卫生行政部门提出放射诊疗许可申请：（五）放射诊疗建设项目竣工验收合格证明文件。</w:t>
            </w:r>
          </w:p>
          <w:p>
            <w:pPr>
              <w:keepNext w:val="0"/>
              <w:keepLines w:val="0"/>
              <w:pageBreakBefore w:val="0"/>
              <w:kinsoku/>
              <w:wordWrap/>
              <w:overflowPunct/>
              <w:topLinePunct w:val="0"/>
              <w:autoSpaceDE/>
              <w:autoSpaceDN/>
              <w:bidi w:val="0"/>
              <w:adjustRightInd/>
              <w:snapToGrid/>
              <w:spacing w:line="240" w:lineRule="exact"/>
              <w:ind w:firstLine="692" w:firstLineChars="0"/>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sz w:val="21"/>
                <w:szCs w:val="21"/>
              </w:rPr>
              <w:t>《陕西省放射诊疗许可证发放管理办法》中，第二章第九条规定：新建、改建、扩建的放射诊疗建设项目，应按照《职业病防治法》的要求，进行放射性职业病危害预评价和控制效果评价，竣工验收和格后方可申请放射诊疗许可事项。</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部门</w:t>
            </w:r>
          </w:p>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规章</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区行政审批局</w:t>
            </w:r>
          </w:p>
        </w:tc>
        <w:tc>
          <w:tcPr>
            <w:tcW w:w="434" w:type="pct"/>
            <w:noWrap w:val="0"/>
            <w:vAlign w:val="center"/>
          </w:tcPr>
          <w:p>
            <w:pPr>
              <w:ind w:left="0" w:leftChars="0" w:firstLine="0" w:firstLineChars="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西安市卫生和计划生育委员会下放放射诊疗单位名单</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0" w:leftChars="0" w:firstLine="0" w:firstLineChars="0"/>
              <w:jc w:val="both"/>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8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《年度财务报告》</w:t>
            </w:r>
          </w:p>
        </w:tc>
        <w:tc>
          <w:tcPr>
            <w:tcW w:w="51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用于民办教育机构的年度审查</w:t>
            </w:r>
          </w:p>
          <w:p>
            <w:pPr>
              <w:keepNext w:val="0"/>
              <w:keepLines w:val="0"/>
              <w:pageBreakBefore w:val="0"/>
              <w:kinsoku/>
              <w:wordWrap/>
              <w:overflowPunct/>
              <w:topLinePunct w:val="0"/>
              <w:autoSpaceDE/>
              <w:autoSpaceDN/>
              <w:bidi w:val="0"/>
              <w:adjustRightInd/>
              <w:snapToGrid/>
              <w:spacing w:line="280" w:lineRule="exact"/>
              <w:ind w:firstLine="692" w:firstLineChars="0"/>
              <w:jc w:val="both"/>
              <w:textAlignment w:val="auto"/>
              <w:rPr>
                <w:rFonts w:hint="eastAsia" w:ascii="仿宋_GB2312" w:hAnsi="仿宋_GB2312" w:eastAsia="仿宋_GB2312" w:cs="仿宋_GB2312"/>
                <w:color w:val="auto"/>
                <w:kern w:val="2"/>
                <w:sz w:val="21"/>
                <w:szCs w:val="21"/>
                <w:lang w:val="en-US" w:eastAsia="zh-CN" w:bidi="ar-SA"/>
              </w:rPr>
            </w:pPr>
          </w:p>
        </w:tc>
        <w:tc>
          <w:tcPr>
            <w:tcW w:w="1019" w:type="pct"/>
            <w:noWrap w:val="0"/>
            <w:vAlign w:val="center"/>
          </w:tcPr>
          <w:p>
            <w:pPr>
              <w:pStyle w:val="2"/>
              <w:keepNext w:val="0"/>
              <w:keepLines w:val="0"/>
              <w:pageBreakBefore w:val="0"/>
              <w:widowControl/>
              <w:kinsoku/>
              <w:wordWrap/>
              <w:overflowPunct/>
              <w:topLinePunct w:val="0"/>
              <w:autoSpaceDE/>
              <w:autoSpaceDN/>
              <w:bidi w:val="0"/>
              <w:adjustRightInd/>
              <w:snapToGrid/>
              <w:spacing w:before="450" w:beforeAutospacing="0" w:afterAutospacing="0" w:line="280" w:lineRule="exact"/>
              <w:ind w:left="0" w:leftChars="0" w:firstLine="0" w:firstLineChars="0"/>
              <w:jc w:val="both"/>
              <w:textAlignment w:val="auto"/>
              <w:outlineLvl w:val="2"/>
              <w:rPr>
                <w:rFonts w:hint="eastAsia" w:ascii="仿宋_GB2312" w:hAnsi="仿宋_GB2312" w:eastAsia="仿宋_GB2312" w:cs="仿宋_GB2312"/>
                <w:b/>
                <w:color w:val="auto"/>
                <w:kern w:val="0"/>
                <w:sz w:val="21"/>
                <w:szCs w:val="21"/>
                <w:lang w:val="en-US" w:eastAsia="zh-CN" w:bidi="ar-SA"/>
              </w:rPr>
            </w:pPr>
            <w:r>
              <w:rPr>
                <w:rFonts w:hint="eastAsia" w:ascii="仿宋_GB2312" w:hAnsi="仿宋_GB2312" w:eastAsia="仿宋_GB2312" w:cs="仿宋_GB2312"/>
                <w:b w:val="0"/>
                <w:color w:val="auto"/>
                <w:kern w:val="2"/>
                <w:sz w:val="21"/>
                <w:szCs w:val="21"/>
              </w:rPr>
              <w:t>《中华人民共和国民办教育促进法实施条例》第</w:t>
            </w:r>
            <w:r>
              <w:rPr>
                <w:rFonts w:hint="eastAsia" w:ascii="仿宋_GB2312" w:hAnsi="仿宋_GB2312" w:eastAsia="仿宋_GB2312" w:cs="仿宋_GB2312"/>
                <w:b w:val="0"/>
                <w:color w:val="auto"/>
                <w:kern w:val="2"/>
                <w:sz w:val="21"/>
                <w:szCs w:val="21"/>
                <w:lang w:val="en-US" w:eastAsia="zh-CN"/>
              </w:rPr>
              <w:t>41</w:t>
            </w:r>
            <w:r>
              <w:rPr>
                <w:rFonts w:hint="eastAsia" w:ascii="仿宋_GB2312" w:hAnsi="仿宋_GB2312" w:eastAsia="仿宋_GB2312" w:cs="仿宋_GB2312"/>
                <w:b w:val="0"/>
                <w:color w:val="auto"/>
                <w:kern w:val="2"/>
                <w:sz w:val="21"/>
                <w:szCs w:val="21"/>
              </w:rPr>
              <w:t>条　民办学校应当依照《中华人民共和国会计法》和国家统一的会计制度进行会计核算，编制财务报告。</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80" w:lineRule="exact"/>
              <w:ind w:firstLine="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行政</w:t>
            </w:r>
          </w:p>
          <w:p>
            <w:pPr>
              <w:keepNext w:val="0"/>
              <w:keepLines w:val="0"/>
              <w:pageBreakBefore w:val="0"/>
              <w:widowControl/>
              <w:kinsoku/>
              <w:wordWrap/>
              <w:overflowPunct/>
              <w:topLinePunct w:val="0"/>
              <w:autoSpaceDE/>
              <w:autoSpaceDN/>
              <w:bidi w:val="0"/>
              <w:adjustRightInd/>
              <w:snapToGrid/>
              <w:spacing w:before="120" w:after="120" w:line="280" w:lineRule="exact"/>
              <w:ind w:firstLine="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法规</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区教育局</w:t>
            </w:r>
          </w:p>
        </w:tc>
        <w:tc>
          <w:tcPr>
            <w:tcW w:w="43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会计事务所</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80" w:lineRule="exact"/>
              <w:ind w:firstLine="0"/>
              <w:jc w:val="center"/>
              <w:textAlignment w:val="auto"/>
              <w:rPr>
                <w:rFonts w:hint="eastAsia" w:ascii="仿宋_GB2312" w:hAnsi="仿宋_GB2312" w:eastAsia="仿宋_GB2312" w:cs="仿宋_GB2312"/>
                <w:b w:val="0"/>
                <w:bCs w:val="0"/>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80" w:lineRule="exact"/>
              <w:ind w:firstLine="0"/>
              <w:jc w:val="center"/>
              <w:textAlignment w:val="auto"/>
              <w:rPr>
                <w:rFonts w:hint="eastAsia" w:ascii="仿宋_GB2312" w:hAnsi="仿宋_GB2312" w:eastAsia="仿宋_GB2312" w:cs="仿宋_GB2312"/>
                <w:b w:val="0"/>
                <w:bCs w:val="0"/>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8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8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80" w:lineRule="exact"/>
              <w:ind w:left="0" w:leftChars="0" w:firstLine="0" w:firstLineChars="0"/>
              <w:jc w:val="both"/>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kinsoku/>
              <w:wordWrap/>
              <w:overflowPunct/>
              <w:topLinePunct w:val="0"/>
              <w:autoSpaceDE/>
              <w:autoSpaceDN/>
              <w:bidi w:val="0"/>
              <w:adjustRightInd/>
              <w:spacing w:line="24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居住证明</w:t>
            </w:r>
          </w:p>
        </w:tc>
        <w:tc>
          <w:tcPr>
            <w:tcW w:w="511" w:type="pct"/>
            <w:noWrap w:val="0"/>
            <w:vAlign w:val="center"/>
          </w:tcPr>
          <w:p>
            <w:pPr>
              <w:keepNext w:val="0"/>
              <w:keepLines w:val="0"/>
              <w:pageBreakBefore w:val="0"/>
              <w:kinsoku/>
              <w:wordWrap/>
              <w:overflowPunct/>
              <w:topLinePunct w:val="0"/>
              <w:autoSpaceDE/>
              <w:autoSpaceDN/>
              <w:bidi w:val="0"/>
              <w:adjustRightInd/>
              <w:spacing w:line="24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进城务工人员随迁子女入学提交的“四证”</w:t>
            </w:r>
            <w:r>
              <w:rPr>
                <w:rFonts w:hint="eastAsia" w:ascii="仿宋_GB2312" w:hAnsi="仿宋_GB2312" w:eastAsia="仿宋_GB2312" w:cs="仿宋_GB2312"/>
                <w:color w:val="auto"/>
                <w:sz w:val="21"/>
                <w:szCs w:val="21"/>
                <w:lang w:eastAsia="zh-CN"/>
              </w:rPr>
              <w:t>之一，用于</w:t>
            </w:r>
            <w:r>
              <w:rPr>
                <w:rFonts w:hint="eastAsia" w:ascii="仿宋_GB2312" w:hAnsi="仿宋_GB2312" w:eastAsia="仿宋_GB2312" w:cs="仿宋_GB2312"/>
                <w:color w:val="auto"/>
                <w:sz w:val="21"/>
                <w:szCs w:val="21"/>
              </w:rPr>
              <w:t>进城务工人员随迁子女入学</w:t>
            </w:r>
          </w:p>
        </w:tc>
        <w:tc>
          <w:tcPr>
            <w:tcW w:w="1019" w:type="pct"/>
            <w:noWrap w:val="0"/>
            <w:vAlign w:val="center"/>
          </w:tcPr>
          <w:p>
            <w:pPr>
              <w:keepNext w:val="0"/>
              <w:keepLines w:val="0"/>
              <w:pageBreakBefore w:val="0"/>
              <w:kinsoku/>
              <w:wordWrap/>
              <w:overflowPunct/>
              <w:topLinePunct w:val="0"/>
              <w:autoSpaceDE/>
              <w:autoSpaceDN/>
              <w:bidi w:val="0"/>
              <w:adjustRightInd/>
              <w:spacing w:line="24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1.《义务教育法》第十二条，适龄儿童、少年免试入学。地方各级人民政府应当保障适龄儿童、少年在户籍所在地学校就近入学。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2.《陕西省实施〈中华人民共和国义务教育法〉办法》第二章第十三条规定，跟随父母或者其他法定监护人在非户籍所在地居住的适龄儿童、少年，应当在新学期开始三十日前，由其父母或者其他法定监护人持本人及儿童、少年的户籍、居住、就业、流出或者转学等证明，到居住地所在学区的学校办理入学手续。3.《西安市教育局关于贯彻落实〈陕西省教育厅关于做好义务教育学校招生入学管理工作的通知〉》（市教发〔2020〕90号）</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法律、地方性法规、部门行政规范性文件</w:t>
            </w:r>
          </w:p>
        </w:tc>
        <w:tc>
          <w:tcPr>
            <w:tcW w:w="418" w:type="pct"/>
            <w:noWrap w:val="0"/>
            <w:vAlign w:val="center"/>
          </w:tcPr>
          <w:p>
            <w:pPr>
              <w:keepNext w:val="0"/>
              <w:keepLines w:val="0"/>
              <w:pageBreakBefore w:val="0"/>
              <w:kinsoku/>
              <w:wordWrap/>
              <w:overflowPunct/>
              <w:topLinePunct w:val="0"/>
              <w:autoSpaceDE/>
              <w:autoSpaceDN/>
              <w:bidi w:val="0"/>
              <w:adjustRightInd/>
              <w:spacing w:line="240" w:lineRule="exact"/>
              <w:ind w:left="0" w:leftChars="0" w:firstLine="0" w:firstLineChars="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区教育局</w:t>
            </w:r>
          </w:p>
        </w:tc>
        <w:tc>
          <w:tcPr>
            <w:tcW w:w="434" w:type="pct"/>
            <w:noWrap w:val="0"/>
            <w:vAlign w:val="center"/>
          </w:tcPr>
          <w:p>
            <w:pPr>
              <w:keepNext w:val="0"/>
              <w:keepLines w:val="0"/>
              <w:pageBreakBefore w:val="0"/>
              <w:kinsoku/>
              <w:wordWrap/>
              <w:overflowPunct/>
              <w:topLinePunct w:val="0"/>
              <w:autoSpaceDE/>
              <w:autoSpaceDN/>
              <w:bidi w:val="0"/>
              <w:adjustRightInd/>
              <w:spacing w:line="24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社区居民委员会或者村民委员会</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0" w:leftChars="0" w:firstLine="0" w:firstLineChars="0"/>
              <w:jc w:val="both"/>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kinsoku/>
              <w:wordWrap/>
              <w:overflowPunct/>
              <w:topLinePunct w:val="0"/>
              <w:autoSpaceDE/>
              <w:autoSpaceDN/>
              <w:bidi w:val="0"/>
              <w:adjustRightInd/>
              <w:spacing w:line="24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务工证明</w:t>
            </w:r>
          </w:p>
        </w:tc>
        <w:tc>
          <w:tcPr>
            <w:tcW w:w="511" w:type="pct"/>
            <w:noWrap w:val="0"/>
            <w:vAlign w:val="center"/>
          </w:tcPr>
          <w:p>
            <w:pPr>
              <w:keepNext w:val="0"/>
              <w:keepLines w:val="0"/>
              <w:pageBreakBefore w:val="0"/>
              <w:kinsoku/>
              <w:wordWrap/>
              <w:overflowPunct/>
              <w:topLinePunct w:val="0"/>
              <w:autoSpaceDE/>
              <w:autoSpaceDN/>
              <w:bidi w:val="0"/>
              <w:adjustRightInd/>
              <w:spacing w:line="24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进城务工人员随迁子女义务教育入学“四证”之一</w:t>
            </w:r>
            <w:r>
              <w:rPr>
                <w:rFonts w:hint="eastAsia" w:ascii="仿宋_GB2312" w:hAnsi="仿宋_GB2312" w:eastAsia="仿宋_GB2312" w:cs="仿宋_GB2312"/>
                <w:color w:val="auto"/>
                <w:sz w:val="21"/>
                <w:szCs w:val="21"/>
                <w:lang w:eastAsia="zh-CN"/>
              </w:rPr>
              <w:t>，用于办理</w:t>
            </w:r>
            <w:r>
              <w:rPr>
                <w:rFonts w:hint="eastAsia" w:ascii="仿宋_GB2312" w:hAnsi="仿宋_GB2312" w:eastAsia="仿宋_GB2312" w:cs="仿宋_GB2312"/>
                <w:color w:val="auto"/>
                <w:sz w:val="21"/>
                <w:szCs w:val="21"/>
              </w:rPr>
              <w:t>进城务工人员随迁子女义务教育入学</w:t>
            </w:r>
          </w:p>
        </w:tc>
        <w:tc>
          <w:tcPr>
            <w:tcW w:w="1019" w:type="pct"/>
            <w:noWrap w:val="0"/>
            <w:vAlign w:val="center"/>
          </w:tcPr>
          <w:p>
            <w:pPr>
              <w:keepNext w:val="0"/>
              <w:keepLines w:val="0"/>
              <w:pageBreakBefore w:val="0"/>
              <w:kinsoku/>
              <w:wordWrap/>
              <w:overflowPunct/>
              <w:topLinePunct w:val="0"/>
              <w:autoSpaceDE/>
              <w:autoSpaceDN/>
              <w:bidi w:val="0"/>
              <w:adjustRightInd/>
              <w:spacing w:line="24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1.《义务教育法》第</w:t>
            </w:r>
            <w:r>
              <w:rPr>
                <w:rFonts w:hint="eastAsia" w:ascii="仿宋_GB2312" w:hAnsi="仿宋_GB2312" w:eastAsia="仿宋_GB2312" w:cs="仿宋_GB2312"/>
                <w:color w:val="auto"/>
                <w:sz w:val="21"/>
                <w:szCs w:val="21"/>
                <w:lang w:val="en-US" w:eastAsia="zh-CN"/>
              </w:rPr>
              <w:t>12</w:t>
            </w:r>
            <w:r>
              <w:rPr>
                <w:rFonts w:hint="eastAsia" w:ascii="仿宋_GB2312" w:hAnsi="仿宋_GB2312" w:eastAsia="仿宋_GB2312" w:cs="仿宋_GB2312"/>
                <w:color w:val="auto"/>
                <w:sz w:val="21"/>
                <w:szCs w:val="21"/>
              </w:rPr>
              <w:t>条</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适龄儿童、少年免试入学。地方各级人民政府应当保障适龄儿童、少年在户籍所在地学校就近入学。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2.《陕西省实施〈中华人民共和国义务教育法〉办法》第</w:t>
            </w:r>
            <w:r>
              <w:rPr>
                <w:rFonts w:hint="eastAsia" w:ascii="仿宋_GB2312" w:hAnsi="仿宋_GB2312" w:eastAsia="仿宋_GB2312" w:cs="仿宋_GB2312"/>
                <w:color w:val="auto"/>
                <w:sz w:val="21"/>
                <w:szCs w:val="21"/>
                <w:lang w:val="en-US" w:eastAsia="zh-CN"/>
              </w:rPr>
              <w:t>13</w:t>
            </w:r>
            <w:r>
              <w:rPr>
                <w:rFonts w:hint="eastAsia" w:ascii="仿宋_GB2312" w:hAnsi="仿宋_GB2312" w:eastAsia="仿宋_GB2312" w:cs="仿宋_GB2312"/>
                <w:color w:val="auto"/>
                <w:sz w:val="21"/>
                <w:szCs w:val="21"/>
              </w:rPr>
              <w:t>条规定</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跟随父母或者其他法定监护人在非户籍所在地居住的适龄儿童、少年，应当在新学期开始三十日前，由其父母或者其他法定监护人持本人及儿童、少年的户籍、居住、就业、流出或者转学等证明，到居住地所在学区的学校办理入学手续。3.《西安市教育局关于贯彻落实〈陕西省教育厅关于做好义务教育学校招生入学管理工作的通知〉》（市教发〔2020〕90号）</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法律、地方性法规、部门行政规范性文件</w:t>
            </w:r>
          </w:p>
        </w:tc>
        <w:tc>
          <w:tcPr>
            <w:tcW w:w="418" w:type="pct"/>
            <w:noWrap w:val="0"/>
            <w:vAlign w:val="center"/>
          </w:tcPr>
          <w:p>
            <w:pPr>
              <w:keepNext w:val="0"/>
              <w:keepLines w:val="0"/>
              <w:pageBreakBefore w:val="0"/>
              <w:kinsoku/>
              <w:wordWrap/>
              <w:overflowPunct/>
              <w:topLinePunct w:val="0"/>
              <w:autoSpaceDE/>
              <w:autoSpaceDN/>
              <w:bidi w:val="0"/>
              <w:adjustRightInd/>
              <w:spacing w:line="240" w:lineRule="exact"/>
              <w:ind w:left="0" w:leftChars="0" w:firstLine="0" w:firstLineChars="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区教育局</w:t>
            </w:r>
          </w:p>
        </w:tc>
        <w:tc>
          <w:tcPr>
            <w:tcW w:w="434" w:type="pct"/>
            <w:noWrap w:val="0"/>
            <w:vAlign w:val="center"/>
          </w:tcPr>
          <w:p>
            <w:pPr>
              <w:keepNext w:val="0"/>
              <w:keepLines w:val="0"/>
              <w:pageBreakBefore w:val="0"/>
              <w:kinsoku/>
              <w:wordWrap/>
              <w:overflowPunct/>
              <w:topLinePunct w:val="0"/>
              <w:autoSpaceDE/>
              <w:autoSpaceDN/>
              <w:bidi w:val="0"/>
              <w:adjustRightInd/>
              <w:spacing w:line="24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随迁子女父母双方</w:t>
            </w:r>
            <w:r>
              <w:rPr>
                <w:rFonts w:hint="eastAsia" w:ascii="仿宋_GB2312" w:hAnsi="仿宋_GB2312" w:eastAsia="仿宋_GB2312" w:cs="仿宋_GB2312"/>
                <w:color w:val="auto"/>
                <w:sz w:val="21"/>
                <w:szCs w:val="21"/>
                <w:lang w:eastAsia="zh-CN"/>
              </w:rPr>
              <w:t>或一方</w:t>
            </w:r>
            <w:r>
              <w:rPr>
                <w:rFonts w:hint="eastAsia" w:ascii="仿宋_GB2312" w:hAnsi="仿宋_GB2312" w:eastAsia="仿宋_GB2312" w:cs="仿宋_GB2312"/>
                <w:color w:val="auto"/>
                <w:sz w:val="21"/>
                <w:szCs w:val="21"/>
              </w:rPr>
              <w:t>工作单位出具</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rPr>
            </w:pPr>
          </w:p>
        </w:tc>
        <w:tc>
          <w:tcPr>
            <w:tcW w:w="591" w:type="pct"/>
            <w:noWrap w:val="0"/>
            <w:vAlign w:val="center"/>
          </w:tcPr>
          <w:p>
            <w:pPr>
              <w:keepNext w:val="0"/>
              <w:keepLines w:val="0"/>
              <w:pageBreakBefore w:val="0"/>
              <w:kinsoku/>
              <w:wordWrap/>
              <w:overflowPunct/>
              <w:topLinePunct w:val="0"/>
              <w:autoSpaceDE/>
              <w:autoSpaceDN/>
              <w:bidi w:val="0"/>
              <w:adjustRightInd/>
              <w:spacing w:line="24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流出证明</w:t>
            </w:r>
          </w:p>
        </w:tc>
        <w:tc>
          <w:tcPr>
            <w:tcW w:w="511" w:type="pct"/>
            <w:noWrap w:val="0"/>
            <w:vAlign w:val="center"/>
          </w:tcPr>
          <w:p>
            <w:pPr>
              <w:keepNext w:val="0"/>
              <w:keepLines w:val="0"/>
              <w:pageBreakBefore w:val="0"/>
              <w:kinsoku/>
              <w:wordWrap/>
              <w:overflowPunct/>
              <w:topLinePunct w:val="0"/>
              <w:autoSpaceDE/>
              <w:autoSpaceDN/>
              <w:bidi w:val="0"/>
              <w:adjustRightInd/>
              <w:spacing w:line="24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进城务工人员随迁子女义务教育入学“四证”之一</w:t>
            </w:r>
            <w:r>
              <w:rPr>
                <w:rFonts w:hint="eastAsia" w:ascii="仿宋_GB2312" w:hAnsi="仿宋_GB2312" w:eastAsia="仿宋_GB2312" w:cs="仿宋_GB2312"/>
                <w:color w:val="auto"/>
                <w:sz w:val="21"/>
                <w:szCs w:val="21"/>
                <w:lang w:eastAsia="zh-CN"/>
              </w:rPr>
              <w:t>，用于办理</w:t>
            </w:r>
            <w:r>
              <w:rPr>
                <w:rFonts w:hint="eastAsia" w:ascii="仿宋_GB2312" w:hAnsi="仿宋_GB2312" w:eastAsia="仿宋_GB2312" w:cs="仿宋_GB2312"/>
                <w:color w:val="auto"/>
                <w:sz w:val="21"/>
                <w:szCs w:val="21"/>
              </w:rPr>
              <w:t>进城务工人员随迁子女义务教育入学</w:t>
            </w:r>
          </w:p>
        </w:tc>
        <w:tc>
          <w:tcPr>
            <w:tcW w:w="1019" w:type="pct"/>
            <w:noWrap w:val="0"/>
            <w:vAlign w:val="center"/>
          </w:tcPr>
          <w:p>
            <w:pPr>
              <w:keepNext w:val="0"/>
              <w:keepLines w:val="0"/>
              <w:pageBreakBefore w:val="0"/>
              <w:kinsoku/>
              <w:wordWrap/>
              <w:overflowPunct/>
              <w:topLinePunct w:val="0"/>
              <w:autoSpaceDE/>
              <w:autoSpaceDN/>
              <w:bidi w:val="0"/>
              <w:adjustRightInd/>
              <w:spacing w:line="240" w:lineRule="exact"/>
              <w:ind w:left="0" w:leftChars="0" w:firstLine="0" w:firstLineChars="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义务教育法》第十二条，适龄儿童、少年免试入学。地方各级人民政府应当保障适龄儿童、少年在户籍所在地学校就近入学。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w:t>
            </w:r>
          </w:p>
          <w:p>
            <w:pPr>
              <w:keepNext w:val="0"/>
              <w:keepLines w:val="0"/>
              <w:pageBreakBefore w:val="0"/>
              <w:kinsoku/>
              <w:wordWrap/>
              <w:overflowPunct/>
              <w:topLinePunct w:val="0"/>
              <w:autoSpaceDE/>
              <w:autoSpaceDN/>
              <w:bidi w:val="0"/>
              <w:adjustRightInd/>
              <w:spacing w:line="24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2.《陕西省实施〈中华人民共和国义务教育法〉办法》第二章第十三条规定，跟随父母或者其他法定监护人在非户籍所在地居住的适龄儿童、少年，应当在新学期开始三十日前，由其父母或者其他法定监护人持本人及儿童、少年的户籍、居住、就业、流出或者转学等证明，到居住地所在学区的学校办理入学手续。3.《西安市教育局关于贯彻落实〈陕西省教育厅关于做好义务教育学校招生入学管理工作的通知〉》（市教发〔2020〕90号）</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法律、地方性法规、部门行政规范性文件</w:t>
            </w:r>
          </w:p>
        </w:tc>
        <w:tc>
          <w:tcPr>
            <w:tcW w:w="418" w:type="pct"/>
            <w:noWrap w:val="0"/>
            <w:vAlign w:val="center"/>
          </w:tcPr>
          <w:p>
            <w:pPr>
              <w:keepNext w:val="0"/>
              <w:keepLines w:val="0"/>
              <w:pageBreakBefore w:val="0"/>
              <w:kinsoku/>
              <w:wordWrap/>
              <w:overflowPunct/>
              <w:topLinePunct w:val="0"/>
              <w:autoSpaceDE/>
              <w:autoSpaceDN/>
              <w:bidi w:val="0"/>
              <w:adjustRightInd/>
              <w:spacing w:line="240" w:lineRule="exact"/>
              <w:ind w:left="0" w:leftChars="0" w:firstLine="0" w:firstLineChars="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区教育局</w:t>
            </w:r>
          </w:p>
        </w:tc>
        <w:tc>
          <w:tcPr>
            <w:tcW w:w="434" w:type="pct"/>
            <w:noWrap w:val="0"/>
            <w:vAlign w:val="center"/>
          </w:tcPr>
          <w:p>
            <w:pPr>
              <w:keepNext w:val="0"/>
              <w:keepLines w:val="0"/>
              <w:pageBreakBefore w:val="0"/>
              <w:kinsoku/>
              <w:wordWrap/>
              <w:overflowPunct/>
              <w:topLinePunct w:val="0"/>
              <w:autoSpaceDE/>
              <w:autoSpaceDN/>
              <w:bidi w:val="0"/>
              <w:adjustRightInd/>
              <w:spacing w:line="240" w:lineRule="exact"/>
              <w:ind w:firstLine="692"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由适龄儿童少年户籍所在地乡镇人民政府或街道办事处出具</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jc w:val="center"/>
              <w:textAlignment w:val="auto"/>
              <w:rPr>
                <w:rFonts w:hint="eastAsia" w:ascii="仿宋_GB2312" w:hAnsi="仿宋_GB2312" w:eastAsia="仿宋_GB2312" w:cs="仿宋_GB2312"/>
                <w:b w:val="0"/>
                <w:bCs w:val="0"/>
                <w:color w:val="auto"/>
                <w:kern w:val="0"/>
                <w:sz w:val="21"/>
                <w:szCs w:val="21"/>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bidi="ar-SA"/>
              </w:rPr>
            </w:pPr>
          </w:p>
        </w:tc>
        <w:tc>
          <w:tcPr>
            <w:tcW w:w="59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用工证明</w:t>
            </w:r>
          </w:p>
        </w:tc>
        <w:tc>
          <w:tcPr>
            <w:tcW w:w="51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用于办理食品生产经营、药品生产经营从业人员健康证。</w:t>
            </w:r>
          </w:p>
        </w:tc>
        <w:tc>
          <w:tcPr>
            <w:tcW w:w="10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highlight w:val="none"/>
                <w:lang w:val="en-US" w:eastAsia="zh-CN"/>
              </w:rPr>
              <w:t>《食品安全法》第45条　食品生产经营者应当建立并执行从</w:t>
            </w:r>
            <w:r>
              <w:rPr>
                <w:rFonts w:hint="eastAsia" w:ascii="仿宋_GB2312" w:hAnsi="仿宋_GB2312" w:eastAsia="仿宋_GB2312" w:cs="仿宋_GB2312"/>
                <w:color w:val="auto"/>
                <w:sz w:val="21"/>
                <w:szCs w:val="21"/>
                <w:lang w:val="en-US" w:eastAsia="zh-CN"/>
              </w:rPr>
              <w:t>业人员健康管理制度。患有国务院卫生行政部门规定的有碍食品安全疾病的人员，不得从事接触直接入口食品的工作。从事接触直接入口食品工作的食品生产经营人员应当每年进行健康检查，取得健康证明后方可上岗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《药品管理法》第51条　药品生产企业、药品经营企业和医疗机构直接接触药品的工作人员，必须每年进行健康检查。患有传染病或者其他可能污染药品的疾病的，不得从事直接接触药品的工作。</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《西安市卫生和计划生育委员会</w:t>
            </w:r>
            <w:r>
              <w:rPr>
                <w:rFonts w:hint="eastAsia" w:ascii="仿宋_GB2312" w:hAnsi="仿宋_GB2312" w:eastAsia="仿宋_GB2312" w:cs="仿宋_GB2312"/>
                <w:color w:val="auto"/>
                <w:sz w:val="21"/>
                <w:szCs w:val="21"/>
                <w:lang w:val="en-US" w:eastAsia="zh-CN"/>
              </w:rPr>
              <w:t xml:space="preserve"> 西安市财政局 西安市食品药品监督管理局关于预防性健康检查工作有相关事项的通知》（市卫计发【2018】203号）</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0" w:leftChars="0" w:firstLine="0" w:firstLineChars="0"/>
              <w:jc w:val="both"/>
              <w:textAlignment w:val="auto"/>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bidi="ar-SA"/>
              </w:rPr>
              <w:t>法律</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区卫健局</w:t>
            </w:r>
          </w:p>
        </w:tc>
        <w:tc>
          <w:tcPr>
            <w:tcW w:w="434"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用工单位</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271"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bidi="ar-SA"/>
              </w:rPr>
            </w:pPr>
          </w:p>
        </w:tc>
        <w:tc>
          <w:tcPr>
            <w:tcW w:w="59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提供安全的技术评价报告</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申办在公路增设或改造平面交叉道口许可证、设置非公路标志许可证、公路建筑控制区内埋设管线、电缆等设施许可证</w:t>
            </w:r>
          </w:p>
        </w:tc>
        <w:tc>
          <w:tcPr>
            <w:tcW w:w="10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《公路安全保护条例》　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　　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　　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0" w:leftChars="0" w:firstLine="0" w:firstLineChars="0"/>
              <w:jc w:val="left"/>
              <w:textAlignment w:val="auto"/>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bidi="ar-SA"/>
              </w:rPr>
              <w:t>行政</w:t>
            </w:r>
          </w:p>
          <w:p>
            <w:pPr>
              <w:keepNext w:val="0"/>
              <w:keepLines w:val="0"/>
              <w:pageBreakBefore w:val="0"/>
              <w:widowControl/>
              <w:kinsoku/>
              <w:wordWrap/>
              <w:overflowPunct/>
              <w:topLinePunct w:val="0"/>
              <w:autoSpaceDE/>
              <w:autoSpaceDN/>
              <w:bidi w:val="0"/>
              <w:adjustRightInd/>
              <w:snapToGrid/>
              <w:spacing w:before="120" w:after="120" w:line="240" w:lineRule="exact"/>
              <w:ind w:left="0" w:leftChars="0" w:firstLine="0" w:firstLineChars="0"/>
              <w:jc w:val="left"/>
              <w:textAlignment w:val="auto"/>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bidi="ar-SA"/>
              </w:rPr>
              <w:t>法规</w:t>
            </w:r>
          </w:p>
        </w:tc>
        <w:tc>
          <w:tcPr>
            <w:tcW w:w="4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i w:val="0"/>
                <w:color w:val="auto"/>
                <w:kern w:val="0"/>
                <w:sz w:val="21"/>
                <w:szCs w:val="21"/>
                <w:u w:val="none"/>
                <w:lang w:val="en-US" w:eastAsia="zh-CN" w:bidi="ar"/>
              </w:rPr>
              <w:t>区公路</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管理站</w:t>
            </w:r>
          </w:p>
        </w:tc>
        <w:tc>
          <w:tcPr>
            <w:tcW w:w="43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i w:val="0"/>
                <w:color w:val="auto"/>
                <w:kern w:val="0"/>
                <w:sz w:val="21"/>
                <w:szCs w:val="21"/>
                <w:u w:val="none"/>
                <w:lang w:val="en-US" w:eastAsia="zh-CN" w:bidi="ar"/>
              </w:rPr>
              <w:t>具备相应的公路设计资质的第三方机构</w:t>
            </w:r>
          </w:p>
        </w:tc>
        <w:tc>
          <w:tcPr>
            <w:tcW w:w="250"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257"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25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法律法规有明确规定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271" w:type="pct"/>
            <w:vMerge w:val="restar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bidi="ar-SA"/>
              </w:rPr>
            </w:pPr>
          </w:p>
        </w:tc>
        <w:tc>
          <w:tcPr>
            <w:tcW w:w="59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死亡证明</w:t>
            </w: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支付军人死亡一次性抚恤金</w:t>
            </w:r>
          </w:p>
        </w:tc>
        <w:tc>
          <w:tcPr>
            <w:tcW w:w="10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《军人抚恤优待条例》第十三条　现役军人死亡，根据其死亡性质和死亡时的月工资标准，由县级人民政府退役军人事务部门发给其遗属一次性抚恤金，标准是：烈士和因公牺牲的，为上一年度全国城镇居民人均可支配收入的20倍加本人40个月的工资；病故的，为上一年度全国城镇居民人均可支配收入的2倍加本人40个月的工资。月工资或者津贴低于排职少尉军官工资标准的，按照排职少尉军官工资标准计算。</w:t>
            </w:r>
          </w:p>
        </w:tc>
        <w:tc>
          <w:tcPr>
            <w:tcW w:w="357" w:type="pct"/>
            <w:vMerge w:val="restar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0" w:leftChars="0" w:firstLine="0" w:firstLineChars="0"/>
              <w:jc w:val="left"/>
              <w:textAlignment w:val="auto"/>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bidi="ar-SA"/>
              </w:rPr>
              <w:t>行政</w:t>
            </w:r>
          </w:p>
          <w:p>
            <w:pPr>
              <w:keepNext w:val="0"/>
              <w:keepLines w:val="0"/>
              <w:pageBreakBefore w:val="0"/>
              <w:widowControl/>
              <w:kinsoku/>
              <w:wordWrap/>
              <w:overflowPunct/>
              <w:topLinePunct w:val="0"/>
              <w:autoSpaceDE/>
              <w:autoSpaceDN/>
              <w:bidi w:val="0"/>
              <w:adjustRightInd/>
              <w:snapToGrid/>
              <w:spacing w:before="120" w:after="120" w:line="240" w:lineRule="exact"/>
              <w:ind w:left="0" w:leftChars="0" w:firstLine="0" w:firstLineChars="0"/>
              <w:jc w:val="left"/>
              <w:textAlignment w:val="auto"/>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bidi="ar-SA"/>
              </w:rPr>
              <w:t>法规</w:t>
            </w:r>
          </w:p>
        </w:tc>
        <w:tc>
          <w:tcPr>
            <w:tcW w:w="418"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区退役军人事务局</w:t>
            </w:r>
          </w:p>
        </w:tc>
        <w:tc>
          <w:tcPr>
            <w:tcW w:w="43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医疗机构、派出所</w:t>
            </w:r>
          </w:p>
        </w:tc>
        <w:tc>
          <w:tcPr>
            <w:tcW w:w="250" w:type="pct"/>
            <w:vMerge w:val="restar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257" w:type="pct"/>
            <w:vMerge w:val="restar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253" w:type="pct"/>
            <w:vMerge w:val="restar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w:t>
            </w:r>
          </w:p>
        </w:tc>
        <w:tc>
          <w:tcPr>
            <w:tcW w:w="273" w:type="pct"/>
            <w:vMerge w:val="restar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vMerge w:val="restart"/>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color w:val="auto"/>
                <w:kern w:val="0"/>
                <w:sz w:val="21"/>
                <w:szCs w:val="21"/>
                <w:lang w:val="en-US" w:eastAsia="zh-CN"/>
              </w:rPr>
            </w:pPr>
            <w:r>
              <w:rPr>
                <w:rFonts w:hint="eastAsia" w:ascii="仿宋_GB2312" w:hAnsi="仿宋_GB2312" w:eastAsia="仿宋_GB2312" w:cs="仿宋_GB2312"/>
                <w:b/>
                <w:color w:val="auto"/>
                <w:kern w:val="0"/>
                <w:sz w:val="21"/>
                <w:szCs w:val="21"/>
                <w:lang w:val="en-US" w:eastAsia="zh-CN"/>
              </w:rPr>
              <w:t>法规有明确规定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bidi="ar-SA"/>
              </w:rPr>
            </w:pPr>
          </w:p>
        </w:tc>
        <w:tc>
          <w:tcPr>
            <w:tcW w:w="59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支付残疾军人死亡丧葬补助费</w:t>
            </w:r>
          </w:p>
        </w:tc>
        <w:tc>
          <w:tcPr>
            <w:tcW w:w="10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《军人抚恤优待条例》第二十八条 第二款 退出现役的因战、因公、因病致残的残疾军人因病死亡的，对其遗属增发12个月的残疾抚恤金，作为丧葬补助费；</w:t>
            </w:r>
          </w:p>
        </w:tc>
        <w:tc>
          <w:tcPr>
            <w:tcW w:w="357"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0" w:leftChars="0" w:firstLine="0" w:firstLineChars="0"/>
              <w:jc w:val="left"/>
              <w:textAlignment w:val="auto"/>
              <w:rPr>
                <w:rFonts w:hint="eastAsia" w:ascii="仿宋_GB2312" w:hAnsi="仿宋_GB2312" w:eastAsia="仿宋_GB2312" w:cs="仿宋_GB2312"/>
                <w:b w:val="0"/>
                <w:bCs w:val="0"/>
                <w:color w:val="auto"/>
                <w:kern w:val="0"/>
                <w:sz w:val="21"/>
                <w:szCs w:val="21"/>
                <w:lang w:val="en-US" w:eastAsia="zh-CN" w:bidi="ar-SA"/>
              </w:rPr>
            </w:pPr>
          </w:p>
        </w:tc>
        <w:tc>
          <w:tcPr>
            <w:tcW w:w="418"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43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250"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257"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253"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p>
        </w:tc>
        <w:tc>
          <w:tcPr>
            <w:tcW w:w="273"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color w:val="auto"/>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271"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425" w:leftChars="0" w:hanging="425" w:firstLineChars="0"/>
              <w:jc w:val="both"/>
              <w:textAlignment w:val="auto"/>
              <w:rPr>
                <w:rFonts w:hint="eastAsia" w:ascii="仿宋_GB2312" w:hAnsi="仿宋_GB2312" w:eastAsia="仿宋_GB2312" w:cs="仿宋_GB2312"/>
                <w:b w:val="0"/>
                <w:bCs/>
                <w:color w:val="auto"/>
                <w:kern w:val="0"/>
                <w:sz w:val="21"/>
                <w:szCs w:val="21"/>
                <w:lang w:val="en-US" w:eastAsia="zh-CN" w:bidi="ar-SA"/>
              </w:rPr>
            </w:pPr>
          </w:p>
        </w:tc>
        <w:tc>
          <w:tcPr>
            <w:tcW w:w="59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51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支付享受定期抚恤金“三属”死亡丧葬补助费</w:t>
            </w:r>
          </w:p>
        </w:tc>
        <w:tc>
          <w:tcPr>
            <w:tcW w:w="10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《军人抚恤优待条例》第十九条　享受定期抚恤金的烈士遗属、因公牺牲军人遗属、病故军人遗属死亡的，增发6个月其原享受的定期抚恤金，作为丧葬补助费。</w:t>
            </w:r>
          </w:p>
        </w:tc>
        <w:tc>
          <w:tcPr>
            <w:tcW w:w="357"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left="0" w:leftChars="0" w:firstLine="0" w:firstLineChars="0"/>
              <w:jc w:val="left"/>
              <w:textAlignment w:val="auto"/>
              <w:rPr>
                <w:rFonts w:hint="eastAsia" w:ascii="仿宋_GB2312" w:hAnsi="仿宋_GB2312" w:eastAsia="仿宋_GB2312" w:cs="仿宋_GB2312"/>
                <w:b w:val="0"/>
                <w:bCs w:val="0"/>
                <w:color w:val="auto"/>
                <w:kern w:val="0"/>
                <w:sz w:val="21"/>
                <w:szCs w:val="21"/>
                <w:lang w:val="en-US" w:eastAsia="zh-CN" w:bidi="ar-SA"/>
              </w:rPr>
            </w:pPr>
          </w:p>
        </w:tc>
        <w:tc>
          <w:tcPr>
            <w:tcW w:w="418"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43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250"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257"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253"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p>
        </w:tc>
        <w:tc>
          <w:tcPr>
            <w:tcW w:w="273"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bidi="ar-SA"/>
              </w:rPr>
            </w:pPr>
          </w:p>
        </w:tc>
        <w:tc>
          <w:tcPr>
            <w:tcW w:w="361"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0" w:firstLineChars="0"/>
              <w:jc w:val="center"/>
              <w:textAlignment w:val="auto"/>
              <w:rPr>
                <w:rFonts w:hint="eastAsia" w:ascii="仿宋_GB2312" w:hAnsi="仿宋_GB2312" w:eastAsia="仿宋_GB2312" w:cs="仿宋_GB2312"/>
                <w:b/>
                <w:color w:val="auto"/>
                <w:kern w:val="0"/>
                <w:sz w:val="21"/>
                <w:szCs w:val="21"/>
                <w:lang w:val="en-US" w:eastAsia="zh-CN"/>
              </w:rPr>
            </w:pPr>
          </w:p>
        </w:tc>
      </w:tr>
    </w:tbl>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4"/>
        <w:ind w:left="0" w:leftChars="0" w:firstLine="0" w:firstLineChars="0"/>
        <w:rPr>
          <w:rFonts w:hint="default"/>
          <w:sz w:val="32"/>
          <w:szCs w:val="32"/>
          <w:lang w:val="en-US" w:eastAsia="zh-CN"/>
        </w:rPr>
      </w:pPr>
      <w:r>
        <w:rPr>
          <w:rFonts w:hint="eastAsia" w:ascii="黑体" w:hAnsi="黑体" w:eastAsia="黑体" w:cs="黑体"/>
          <w:sz w:val="32"/>
          <w:szCs w:val="32"/>
          <w:lang w:val="en-US" w:eastAsia="zh-CN"/>
        </w:rPr>
        <w:t>附件二</w:t>
      </w:r>
    </w:p>
    <w:p>
      <w:pPr>
        <w:jc w:val="center"/>
        <w:rPr>
          <w:rFonts w:hint="eastAsia" w:ascii="方正小标宋简体" w:eastAsia="方正小标宋简体"/>
          <w:sz w:val="44"/>
          <w:szCs w:val="44"/>
        </w:rPr>
      </w:pPr>
      <w:r>
        <w:rPr>
          <w:rFonts w:hint="eastAsia" w:ascii="方正小标宋简体" w:eastAsia="方正小标宋简体"/>
          <w:sz w:val="44"/>
          <w:szCs w:val="44"/>
        </w:rPr>
        <w:t>西安市灞桥区实行告知承诺制的证明事项清单</w:t>
      </w:r>
    </w:p>
    <w:p>
      <w:pPr>
        <w:ind w:firstLine="560" w:firstLineChars="200"/>
        <w:rPr>
          <w:rFonts w:hint="eastAsia" w:ascii="仿宋_GB2312" w:hAnsi="仿宋_GB2312" w:eastAsia="仿宋_GB2312" w:cs="仿宋_GB2312"/>
          <w:sz w:val="28"/>
          <w:szCs w:val="28"/>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0"/>
        <w:gridCol w:w="1212"/>
        <w:gridCol w:w="1658"/>
        <w:gridCol w:w="6244"/>
        <w:gridCol w:w="3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noWrap w:val="0"/>
            <w:vAlign w:val="center"/>
          </w:tcPr>
          <w:p>
            <w:pPr>
              <w:spacing w:line="460" w:lineRule="exact"/>
              <w:jc w:val="center"/>
              <w:rPr>
                <w:rFonts w:hint="eastAsia" w:ascii="黑体" w:hAnsi="黑体" w:eastAsia="黑体" w:cs="黑体"/>
                <w:sz w:val="24"/>
              </w:rPr>
            </w:pPr>
            <w:r>
              <w:rPr>
                <w:rFonts w:hint="eastAsia" w:ascii="黑体" w:hAnsi="黑体" w:eastAsia="黑体" w:cs="黑体"/>
                <w:sz w:val="24"/>
              </w:rPr>
              <w:t>序号</w:t>
            </w:r>
          </w:p>
        </w:tc>
        <w:tc>
          <w:tcPr>
            <w:tcW w:w="1212" w:type="dxa"/>
            <w:noWrap w:val="0"/>
            <w:vAlign w:val="center"/>
          </w:tcPr>
          <w:p>
            <w:pPr>
              <w:spacing w:line="460" w:lineRule="exact"/>
              <w:jc w:val="center"/>
              <w:rPr>
                <w:rFonts w:hint="eastAsia" w:ascii="黑体" w:hAnsi="黑体" w:eastAsia="黑体" w:cs="黑体"/>
                <w:sz w:val="24"/>
              </w:rPr>
            </w:pPr>
            <w:r>
              <w:rPr>
                <w:rFonts w:hint="eastAsia" w:ascii="黑体" w:hAnsi="黑体" w:eastAsia="黑体" w:cs="黑体"/>
                <w:sz w:val="24"/>
              </w:rPr>
              <w:t>单位</w:t>
            </w:r>
          </w:p>
        </w:tc>
        <w:tc>
          <w:tcPr>
            <w:tcW w:w="1658" w:type="dxa"/>
            <w:noWrap w:val="0"/>
            <w:vAlign w:val="center"/>
          </w:tcPr>
          <w:p>
            <w:pPr>
              <w:spacing w:line="460" w:lineRule="exact"/>
              <w:jc w:val="center"/>
              <w:rPr>
                <w:rFonts w:hint="eastAsia" w:ascii="黑体" w:hAnsi="黑体" w:eastAsia="黑体" w:cs="黑体"/>
                <w:sz w:val="24"/>
              </w:rPr>
            </w:pPr>
            <w:r>
              <w:rPr>
                <w:rFonts w:hint="eastAsia" w:ascii="黑体" w:hAnsi="黑体" w:eastAsia="黑体" w:cs="黑体"/>
                <w:sz w:val="24"/>
              </w:rPr>
              <w:t>证明事项名称</w:t>
            </w:r>
          </w:p>
        </w:tc>
        <w:tc>
          <w:tcPr>
            <w:tcW w:w="6244" w:type="dxa"/>
            <w:noWrap w:val="0"/>
            <w:vAlign w:val="center"/>
          </w:tcPr>
          <w:p>
            <w:pPr>
              <w:spacing w:line="460" w:lineRule="exact"/>
              <w:jc w:val="center"/>
              <w:rPr>
                <w:rFonts w:hint="eastAsia" w:ascii="黑体" w:hAnsi="黑体" w:eastAsia="黑体" w:cs="黑体"/>
                <w:sz w:val="24"/>
              </w:rPr>
            </w:pPr>
            <w:r>
              <w:rPr>
                <w:rFonts w:hint="eastAsia" w:ascii="黑体" w:hAnsi="黑体" w:eastAsia="黑体" w:cs="黑体"/>
                <w:sz w:val="24"/>
              </w:rPr>
              <w:t>设定依据</w:t>
            </w:r>
          </w:p>
        </w:tc>
        <w:tc>
          <w:tcPr>
            <w:tcW w:w="3504" w:type="dxa"/>
            <w:noWrap w:val="0"/>
            <w:vAlign w:val="center"/>
          </w:tcPr>
          <w:p>
            <w:pPr>
              <w:spacing w:line="460" w:lineRule="exact"/>
              <w:jc w:val="center"/>
              <w:rPr>
                <w:rFonts w:hint="eastAsia" w:ascii="黑体" w:hAnsi="黑体" w:eastAsia="黑体" w:cs="黑体"/>
                <w:sz w:val="24"/>
              </w:rPr>
            </w:pPr>
            <w:r>
              <w:rPr>
                <w:rFonts w:hint="eastAsia" w:ascii="黑体" w:hAnsi="黑体" w:eastAsia="黑体" w:cs="黑体"/>
                <w:sz w:val="24"/>
              </w:rPr>
              <w:t>实行告知承诺制的证明</w:t>
            </w:r>
          </w:p>
          <w:p>
            <w:pPr>
              <w:spacing w:line="460" w:lineRule="exact"/>
              <w:jc w:val="center"/>
              <w:rPr>
                <w:rFonts w:hint="eastAsia" w:ascii="黑体" w:hAnsi="黑体" w:eastAsia="黑体" w:cs="黑体"/>
                <w:sz w:val="24"/>
              </w:rPr>
            </w:pPr>
            <w:r>
              <w:rPr>
                <w:rFonts w:hint="eastAsia" w:ascii="黑体" w:hAnsi="黑体" w:eastAsia="黑体" w:cs="黑体"/>
                <w:sz w:val="24"/>
              </w:rPr>
              <w:t>材料内容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5" w:hRule="atLeast"/>
        </w:trPr>
        <w:tc>
          <w:tcPr>
            <w:tcW w:w="780" w:type="dxa"/>
            <w:noWrap w:val="0"/>
            <w:vAlign w:val="center"/>
          </w:tcPr>
          <w:p>
            <w:pPr>
              <w:spacing w:line="39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212" w:type="dxa"/>
            <w:noWrap w:val="0"/>
            <w:vAlign w:val="center"/>
          </w:tcPr>
          <w:p>
            <w:pPr>
              <w:spacing w:line="39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区行政审批服务局</w:t>
            </w:r>
          </w:p>
        </w:tc>
        <w:tc>
          <w:tcPr>
            <w:tcW w:w="1658" w:type="dxa"/>
            <w:noWrap w:val="0"/>
            <w:vAlign w:val="center"/>
          </w:tcPr>
          <w:p>
            <w:pPr>
              <w:spacing w:line="39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无未结案件证明</w:t>
            </w:r>
          </w:p>
        </w:tc>
        <w:tc>
          <w:tcPr>
            <w:tcW w:w="6244" w:type="dxa"/>
            <w:noWrap w:val="0"/>
            <w:vAlign w:val="center"/>
          </w:tcPr>
          <w:p>
            <w:pPr>
              <w:spacing w:line="3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《中华人民共和国药品管理法》第五十一条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spacing w:line="3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药品经营许可证应当标明有效期和经营范围，到期重新审查发证。</w:t>
            </w:r>
          </w:p>
          <w:p>
            <w:pPr>
              <w:spacing w:line="3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《中华人民共和国药品管理法实施条例》（2019年3月2日修订）第十六条  药品经营企业变更《药品经营许可证》许可事项的，应当在许可事项发生变更30日前，向原发证机关申请《药品经营许可证》变更登记；未经批准，不得变更许可事项。原发证机关应当自收到企业申请之日起15个工作日内作出决定。</w:t>
            </w:r>
          </w:p>
          <w:p>
            <w:pPr>
              <w:spacing w:line="3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《药品经营许可证管理办法》（国家食品药品监督管理局令第6号）第十六条  企业因违法经营已被（食品）药品监督管理部门（机构）立案调查，尚未结案的；或已经作出行政处罚决定，尚未履行处罚的，发证机关应暂停受理其《药品经营许可证》的变更申请。</w:t>
            </w:r>
          </w:p>
        </w:tc>
        <w:tc>
          <w:tcPr>
            <w:tcW w:w="3504" w:type="dxa"/>
            <w:noWrap w:val="0"/>
            <w:vAlign w:val="center"/>
          </w:tcPr>
          <w:p>
            <w:pPr>
              <w:spacing w:line="390" w:lineRule="exact"/>
              <w:ind w:left="689" w:hanging="688" w:hangingChars="287"/>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4"/>
              </w:rPr>
              <w:t>承诺企业</w:t>
            </w:r>
            <w:r>
              <w:rPr>
                <w:rFonts w:hint="eastAsia" w:ascii="仿宋_GB2312" w:hAnsi="仿宋_GB2312" w:eastAsia="仿宋_GB2312" w:cs="仿宋_GB2312"/>
                <w:color w:val="000000"/>
                <w:kern w:val="0"/>
                <w:sz w:val="24"/>
                <w:lang w:bidi="ar"/>
              </w:rPr>
              <w:t>无遗留</w:t>
            </w:r>
          </w:p>
          <w:p>
            <w:pPr>
              <w:spacing w:line="390" w:lineRule="exact"/>
              <w:ind w:left="689" w:hanging="688" w:hangingChars="287"/>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违法违规案件。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1" w:hRule="atLeast"/>
        </w:trPr>
        <w:tc>
          <w:tcPr>
            <w:tcW w:w="780" w:type="dxa"/>
            <w:noWrap w:val="0"/>
            <w:vAlign w:val="center"/>
          </w:tcPr>
          <w:p>
            <w:pPr>
              <w:spacing w:line="39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212" w:type="dxa"/>
            <w:noWrap w:val="0"/>
            <w:vAlign w:val="center"/>
          </w:tcPr>
          <w:p>
            <w:pPr>
              <w:spacing w:line="39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区行政审批服务局</w:t>
            </w:r>
          </w:p>
        </w:tc>
        <w:tc>
          <w:tcPr>
            <w:tcW w:w="1658" w:type="dxa"/>
            <w:noWrap w:val="0"/>
            <w:vAlign w:val="center"/>
          </w:tcPr>
          <w:p>
            <w:pPr>
              <w:spacing w:line="39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登载遗失声明</w:t>
            </w:r>
          </w:p>
        </w:tc>
        <w:tc>
          <w:tcPr>
            <w:tcW w:w="6244" w:type="dxa"/>
            <w:noWrap w:val="0"/>
            <w:vAlign w:val="center"/>
          </w:tcPr>
          <w:p>
            <w:pPr>
              <w:spacing w:line="3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《中华人民共和国药品管理法》第五十一条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spacing w:line="3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药品经营许可证应当标明有效期和经营范围，到期重新审查发证。</w:t>
            </w:r>
          </w:p>
          <w:p>
            <w:pPr>
              <w:spacing w:line="3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《药品经营许可证管理办法》（国家食品药品监督管理局令第6号）第二十九条  </w:t>
            </w:r>
            <w:r>
              <w:rPr>
                <w:rFonts w:ascii="仿宋_GB2312" w:hAnsi="仿宋_GB2312" w:eastAsia="仿宋_GB2312" w:cs="仿宋_GB2312"/>
                <w:sz w:val="24"/>
                <w:szCs w:val="24"/>
              </w:rPr>
              <w:t>企业遗失《药品经营许可证》，应立即向发证机关报告，并在发证机关指定的媒体上登载遗失声明。发证机关在企业登载遗失声明之日起满1个月后，按原核准事项补发《药品经营许可证》。</w:t>
            </w:r>
          </w:p>
        </w:tc>
        <w:tc>
          <w:tcPr>
            <w:tcW w:w="3504" w:type="dxa"/>
            <w:noWrap w:val="0"/>
            <w:vAlign w:val="center"/>
          </w:tcPr>
          <w:p>
            <w:pPr>
              <w:spacing w:line="390" w:lineRule="exact"/>
              <w:ind w:left="689" w:hanging="688" w:hangingChars="287"/>
              <w:jc w:val="center"/>
              <w:rPr>
                <w:rFonts w:hint="eastAsia" w:ascii="仿宋_GB2312" w:hAnsi="仿宋_GB2312" w:eastAsia="仿宋_GB2312" w:cs="仿宋_GB2312"/>
                <w:sz w:val="24"/>
              </w:rPr>
            </w:pPr>
            <w:r>
              <w:rPr>
                <w:rFonts w:hint="eastAsia" w:ascii="仿宋_GB2312" w:hAnsi="仿宋_GB2312" w:eastAsia="仿宋_GB2312" w:cs="仿宋_GB2312"/>
                <w:sz w:val="24"/>
              </w:rPr>
              <w:t>承诺原证件遗失并作废。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7" w:hRule="atLeast"/>
        </w:trPr>
        <w:tc>
          <w:tcPr>
            <w:tcW w:w="780" w:type="dxa"/>
            <w:noWrap w:val="0"/>
            <w:vAlign w:val="center"/>
          </w:tcPr>
          <w:p>
            <w:pPr>
              <w:spacing w:line="39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212" w:type="dxa"/>
            <w:noWrap w:val="0"/>
            <w:vAlign w:val="center"/>
          </w:tcPr>
          <w:p>
            <w:pPr>
              <w:spacing w:line="39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区行政审批服务局</w:t>
            </w:r>
          </w:p>
        </w:tc>
        <w:tc>
          <w:tcPr>
            <w:tcW w:w="1658" w:type="dxa"/>
            <w:noWrap w:val="0"/>
            <w:vAlign w:val="center"/>
          </w:tcPr>
          <w:p>
            <w:pPr>
              <w:spacing w:line="39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食品经营许可证登报遗失公开声明证明材料或毁损的食品经营许可证</w:t>
            </w:r>
          </w:p>
        </w:tc>
        <w:tc>
          <w:tcPr>
            <w:tcW w:w="6244" w:type="dxa"/>
            <w:noWrap w:val="0"/>
            <w:vAlign w:val="center"/>
          </w:tcPr>
          <w:p>
            <w:pPr>
              <w:spacing w:line="3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《中华人民共和国食品安全法》第三十五条  国家对食品生产经营实行许可制度。从事食品生产、食品销售、餐饮服务，应当依法取得许可。但是，销售食用农产品，不需要取得许可。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spacing w:line="3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《食品经营许可管理办法》（国家食药监管总局令第37号发布，2017年11月17日修订）第三十五条  食品经营许可证遗失、损坏的，应当向原发证的食品药品监督管理部门申请补办，并提交下列材料：（一）……（二）食品经营许可证遗失的，申请人应当提交在县级以上地方食品药品监督管理部门网站或者其他县级以上主要媒体上刊登遗失公告的材料；食品经营许可证损坏的，应当提交损坏的食品经营许可证原件。</w:t>
            </w:r>
          </w:p>
        </w:tc>
        <w:tc>
          <w:tcPr>
            <w:tcW w:w="3504" w:type="dxa"/>
            <w:noWrap w:val="0"/>
            <w:vAlign w:val="center"/>
          </w:tcPr>
          <w:p>
            <w:pPr>
              <w:spacing w:line="390" w:lineRule="exact"/>
              <w:ind w:left="689" w:hanging="688" w:hangingChars="287"/>
              <w:jc w:val="center"/>
              <w:rPr>
                <w:rFonts w:hint="eastAsia" w:ascii="仿宋_GB2312" w:hAnsi="仿宋_GB2312" w:eastAsia="仿宋_GB2312" w:cs="仿宋_GB2312"/>
                <w:sz w:val="24"/>
              </w:rPr>
            </w:pPr>
            <w:r>
              <w:rPr>
                <w:rFonts w:hint="eastAsia" w:ascii="仿宋_GB2312" w:hAnsi="仿宋_GB2312" w:eastAsia="仿宋_GB2312" w:cs="仿宋_GB2312"/>
                <w:sz w:val="24"/>
              </w:rPr>
              <w:t>承诺原证件遗失并作废。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0" w:hRule="atLeast"/>
        </w:trPr>
        <w:tc>
          <w:tcPr>
            <w:tcW w:w="780" w:type="dxa"/>
            <w:noWrap w:val="0"/>
            <w:vAlign w:val="center"/>
          </w:tcPr>
          <w:p>
            <w:pPr>
              <w:spacing w:line="39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212" w:type="dxa"/>
            <w:noWrap w:val="0"/>
            <w:vAlign w:val="center"/>
          </w:tcPr>
          <w:p>
            <w:pPr>
              <w:spacing w:line="39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区行政审批服务局</w:t>
            </w:r>
          </w:p>
        </w:tc>
        <w:tc>
          <w:tcPr>
            <w:tcW w:w="1658" w:type="dxa"/>
            <w:noWrap w:val="0"/>
            <w:vAlign w:val="center"/>
          </w:tcPr>
          <w:p>
            <w:pPr>
              <w:spacing w:line="390" w:lineRule="exact"/>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劳动合同</w:t>
            </w:r>
          </w:p>
        </w:tc>
        <w:tc>
          <w:tcPr>
            <w:tcW w:w="6244" w:type="dxa"/>
            <w:noWrap w:val="0"/>
            <w:vAlign w:val="center"/>
          </w:tcPr>
          <w:p>
            <w:pPr>
              <w:spacing w:line="2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《中华人民共和国执业医师法》（1998年6月26日主席令第5号）第十三条 国家实行医师执业注册制度。取得医师资格的，可以向所在地县级以上人民政府卫生行政部门申请注册。</w:t>
            </w:r>
          </w:p>
          <w:p>
            <w:pPr>
              <w:spacing w:line="28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《医师执业注册管理办法》（国家卫生和计划生育委员会第13号令）第十二条  申请医师执业注册，应当提交下列材料：（一）……（三）医疗、预防、保健机构的聘用证明；……</w:t>
            </w:r>
          </w:p>
          <w:p>
            <w:pPr>
              <w:spacing w:line="28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《护士条例》（2008年1月31日国务院令第517号）第八条  申请护士执业注册的，应当向批准设立拟执业医疗机构或者为该医疗机构备案的卫生主管部门提出申请。收到申请的卫生主管部门应当自收到申请之日起20个工作日内做出决定，对具备本条例规定条件的，准予注册，并发给护士执业证书；对不具备本条例规定条件的，不予注册，并书面说明理由。</w:t>
            </w:r>
          </w:p>
          <w:p>
            <w:pPr>
              <w:spacing w:line="28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《护士执业注册管理办理》（中华人民共和国卫生部令第59号,2021年1月8日修订）第七条 申请护士执业注册，应当提交下列材料：（一）……（四）医疗卫生机构拟聘用的相关材料。</w:t>
            </w:r>
          </w:p>
        </w:tc>
        <w:tc>
          <w:tcPr>
            <w:tcW w:w="3504" w:type="dxa"/>
            <w:noWrap w:val="0"/>
            <w:vAlign w:val="center"/>
          </w:tcPr>
          <w:p>
            <w:pPr>
              <w:spacing w:line="390" w:lineRule="exact"/>
              <w:ind w:left="689" w:hanging="688" w:hangingChars="287"/>
              <w:jc w:val="center"/>
              <w:rPr>
                <w:rFonts w:hint="eastAsia" w:ascii="仿宋_GB2312" w:hAnsi="仿宋_GB2312" w:eastAsia="仿宋_GB2312" w:cs="仿宋_GB2312"/>
                <w:sz w:val="24"/>
              </w:rPr>
            </w:pPr>
            <w:r>
              <w:rPr>
                <w:rFonts w:hint="eastAsia" w:ascii="仿宋_GB2312" w:hAnsi="仿宋_GB2312" w:eastAsia="仿宋_GB2312" w:cs="仿宋_GB2312"/>
                <w:sz w:val="24"/>
              </w:rPr>
              <w:t>承诺医师（护士）</w:t>
            </w:r>
          </w:p>
          <w:p>
            <w:pPr>
              <w:spacing w:line="390" w:lineRule="exact"/>
              <w:ind w:left="689" w:hanging="688" w:hangingChars="287"/>
              <w:jc w:val="center"/>
              <w:rPr>
                <w:rFonts w:hint="eastAsia" w:ascii="仿宋_GB2312" w:hAnsi="仿宋_GB2312" w:eastAsia="仿宋_GB2312" w:cs="仿宋_GB2312"/>
                <w:sz w:val="24"/>
              </w:rPr>
            </w:pPr>
            <w:r>
              <w:rPr>
                <w:rFonts w:hint="eastAsia" w:ascii="仿宋_GB2312" w:hAnsi="仿宋_GB2312" w:eastAsia="仿宋_GB2312" w:cs="仿宋_GB2312"/>
                <w:sz w:val="24"/>
              </w:rPr>
              <w:t>在某医疗机构执业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3" w:hRule="atLeast"/>
        </w:trPr>
        <w:tc>
          <w:tcPr>
            <w:tcW w:w="780" w:type="dxa"/>
            <w:noWrap w:val="0"/>
            <w:vAlign w:val="center"/>
          </w:tcPr>
          <w:p>
            <w:pPr>
              <w:spacing w:line="39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212" w:type="dxa"/>
            <w:noWrap w:val="0"/>
            <w:vAlign w:val="center"/>
          </w:tcPr>
          <w:p>
            <w:pPr>
              <w:spacing w:line="380" w:lineRule="exact"/>
              <w:ind w:left="654" w:hanging="654" w:hangingChars="287"/>
              <w:jc w:val="left"/>
              <w:rPr>
                <w:rFonts w:hint="eastAsia" w:ascii="仿宋_GB2312" w:hAnsi="仿宋_GB2312" w:eastAsia="仿宋_GB2312" w:cs="仿宋_GB2312"/>
                <w:spacing w:val="-6"/>
                <w:kern w:val="0"/>
                <w:sz w:val="24"/>
                <w:lang w:bidi="ar"/>
              </w:rPr>
            </w:pPr>
            <w:r>
              <w:rPr>
                <w:rFonts w:hint="eastAsia" w:ascii="仿宋_GB2312" w:hAnsi="仿宋_GB2312" w:eastAsia="仿宋_GB2312" w:cs="仿宋_GB2312"/>
                <w:spacing w:val="-6"/>
                <w:kern w:val="0"/>
                <w:sz w:val="24"/>
                <w:lang w:bidi="ar"/>
              </w:rPr>
              <w:t>区农业</w:t>
            </w:r>
          </w:p>
          <w:p>
            <w:pPr>
              <w:spacing w:line="380" w:lineRule="exact"/>
              <w:ind w:left="654" w:hanging="654" w:hangingChars="287"/>
              <w:jc w:val="left"/>
              <w:rPr>
                <w:rFonts w:hint="eastAsia" w:ascii="仿宋_GB2312" w:hAnsi="仿宋_GB2312" w:eastAsia="仿宋_GB2312" w:cs="仿宋_GB2312"/>
                <w:spacing w:val="-6"/>
                <w:kern w:val="0"/>
                <w:sz w:val="24"/>
                <w:lang w:bidi="ar"/>
              </w:rPr>
            </w:pPr>
            <w:r>
              <w:rPr>
                <w:rFonts w:hint="eastAsia" w:ascii="仿宋_GB2312" w:hAnsi="仿宋_GB2312" w:eastAsia="仿宋_GB2312" w:cs="仿宋_GB2312"/>
                <w:spacing w:val="-6"/>
                <w:kern w:val="0"/>
                <w:sz w:val="24"/>
                <w:lang w:bidi="ar"/>
              </w:rPr>
              <w:t>农村局</w:t>
            </w:r>
          </w:p>
        </w:tc>
        <w:tc>
          <w:tcPr>
            <w:tcW w:w="1658" w:type="dxa"/>
            <w:noWrap w:val="0"/>
            <w:vAlign w:val="center"/>
          </w:tcPr>
          <w:p>
            <w:pPr>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pacing w:val="-6"/>
                <w:kern w:val="0"/>
                <w:sz w:val="24"/>
                <w:lang w:bidi="ar"/>
              </w:rPr>
              <w:t>经营人员培训证明</w:t>
            </w:r>
          </w:p>
        </w:tc>
        <w:tc>
          <w:tcPr>
            <w:tcW w:w="6244" w:type="dxa"/>
            <w:noWrap w:val="0"/>
            <w:vAlign w:val="center"/>
          </w:tcPr>
          <w:p>
            <w:pPr>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222222"/>
                <w:sz w:val="24"/>
                <w:szCs w:val="24"/>
                <w:shd w:val="clear" w:color="auto" w:fill="FFFFFF"/>
              </w:rPr>
              <w:t>《</w:t>
            </w:r>
            <w:r>
              <w:rPr>
                <w:rFonts w:hint="eastAsia" w:ascii="仿宋_GB2312" w:hAnsi="仿宋_GB2312" w:eastAsia="仿宋_GB2312" w:cs="仿宋_GB2312"/>
                <w:sz w:val="24"/>
                <w:szCs w:val="24"/>
              </w:rPr>
              <w:t>农药管理条例》（1997年5月8日，国务院令第216号发布，2017年国务院令第677号修订）第二十四条  国家实行农药经营许可制度，但经营卫生用农药的除外。农药经营者应当具备下列条件，并按照国务院农业主管部门的规定向县级以上地方人民政府农业主管部门申请农药经营许可证：（一）有具备农药和病虫害防治专业知识，熟悉农药管理规定，能够指导安全合理使用农药的经营人员；……《农药经营许可管理办法》（2017年6月21日农业部令第5号发布，2018年12月6日农业农村部令第2号修订）第八条  申请农药经营许可证的，应当向县级以上地方农业部门提交以下材料：（一）农药经营许可证申请表；（二）法定代表人（负责人）身份证明复印件；（三）经营人员的学历或者培训证明；……</w:t>
            </w:r>
          </w:p>
        </w:tc>
        <w:tc>
          <w:tcPr>
            <w:tcW w:w="3504" w:type="dxa"/>
            <w:noWrap w:val="0"/>
            <w:vAlign w:val="center"/>
          </w:tcPr>
          <w:p>
            <w:pPr>
              <w:spacing w:line="380" w:lineRule="exact"/>
              <w:ind w:left="654" w:hanging="654" w:hangingChars="287"/>
              <w:jc w:val="center"/>
              <w:rPr>
                <w:rFonts w:hint="eastAsia" w:ascii="仿宋_GB2312" w:hAnsi="仿宋_GB2312" w:eastAsia="仿宋_GB2312" w:cs="仿宋_GB2312"/>
                <w:spacing w:val="-6"/>
                <w:kern w:val="0"/>
                <w:sz w:val="24"/>
                <w:lang w:bidi="ar"/>
              </w:rPr>
            </w:pPr>
            <w:r>
              <w:rPr>
                <w:rFonts w:hint="eastAsia" w:ascii="仿宋_GB2312" w:hAnsi="仿宋_GB2312" w:eastAsia="仿宋_GB2312" w:cs="仿宋_GB2312"/>
                <w:spacing w:val="-6"/>
                <w:kern w:val="0"/>
                <w:sz w:val="24"/>
                <w:lang w:bidi="ar"/>
              </w:rPr>
              <w:t>承诺农药经营经营人员</w:t>
            </w:r>
          </w:p>
          <w:p>
            <w:pPr>
              <w:spacing w:line="380" w:lineRule="exact"/>
              <w:ind w:left="654" w:hanging="654" w:hangingChars="287"/>
              <w:jc w:val="center"/>
              <w:rPr>
                <w:rFonts w:hint="eastAsia" w:ascii="仿宋_GB2312" w:hAnsi="仿宋_GB2312" w:eastAsia="仿宋_GB2312" w:cs="仿宋_GB2312"/>
                <w:sz w:val="24"/>
              </w:rPr>
            </w:pPr>
            <w:r>
              <w:rPr>
                <w:rFonts w:hint="eastAsia" w:ascii="仿宋_GB2312" w:hAnsi="仿宋_GB2312" w:eastAsia="仿宋_GB2312" w:cs="仿宋_GB2312"/>
                <w:spacing w:val="-6"/>
                <w:kern w:val="0"/>
                <w:sz w:val="24"/>
                <w:lang w:bidi="ar"/>
              </w:rPr>
              <w:t>培训合格，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2" w:hRule="atLeast"/>
        </w:trPr>
        <w:tc>
          <w:tcPr>
            <w:tcW w:w="780" w:type="dxa"/>
            <w:noWrap w:val="0"/>
            <w:vAlign w:val="center"/>
          </w:tcPr>
          <w:p>
            <w:pPr>
              <w:spacing w:line="39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212" w:type="dxa"/>
            <w:noWrap w:val="0"/>
            <w:vAlign w:val="center"/>
          </w:tcPr>
          <w:p>
            <w:pPr>
              <w:spacing w:line="380" w:lineRule="exact"/>
              <w:ind w:left="654" w:hanging="654" w:hangingChars="287"/>
              <w:jc w:val="left"/>
              <w:rPr>
                <w:rFonts w:hint="eastAsia" w:ascii="仿宋_GB2312" w:hAnsi="仿宋_GB2312" w:eastAsia="仿宋_GB2312" w:cs="仿宋_GB2312"/>
                <w:spacing w:val="-6"/>
                <w:kern w:val="0"/>
                <w:sz w:val="24"/>
                <w:lang w:bidi="ar"/>
              </w:rPr>
            </w:pPr>
            <w:r>
              <w:rPr>
                <w:rFonts w:hint="eastAsia" w:ascii="仿宋_GB2312" w:hAnsi="仿宋_GB2312" w:eastAsia="仿宋_GB2312" w:cs="仿宋_GB2312"/>
                <w:spacing w:val="-6"/>
                <w:kern w:val="0"/>
                <w:sz w:val="24"/>
                <w:lang w:bidi="ar"/>
              </w:rPr>
              <w:t>区公证处</w:t>
            </w:r>
          </w:p>
        </w:tc>
        <w:tc>
          <w:tcPr>
            <w:tcW w:w="1658" w:type="dxa"/>
            <w:noWrap w:val="0"/>
            <w:vAlign w:val="center"/>
          </w:tcPr>
          <w:p>
            <w:pPr>
              <w:spacing w:line="380" w:lineRule="exact"/>
              <w:jc w:val="center"/>
              <w:rPr>
                <w:rFonts w:hint="eastAsia" w:ascii="仿宋_GB2312" w:hAnsi="仿宋_GB2312" w:eastAsia="仿宋_GB2312" w:cs="仿宋_GB2312"/>
                <w:spacing w:val="-6"/>
                <w:kern w:val="0"/>
                <w:sz w:val="24"/>
                <w:lang w:bidi="ar"/>
              </w:rPr>
            </w:pPr>
            <w:r>
              <w:rPr>
                <w:rFonts w:hint="eastAsia" w:ascii="仿宋_GB2312" w:hAnsi="仿宋_GB2312" w:eastAsia="仿宋_GB2312" w:cs="仿宋_GB2312"/>
                <w:spacing w:val="-6"/>
                <w:kern w:val="0"/>
                <w:sz w:val="24"/>
                <w:lang w:bidi="ar"/>
              </w:rPr>
              <w:t>法定代表人身份证明</w:t>
            </w:r>
          </w:p>
        </w:tc>
        <w:tc>
          <w:tcPr>
            <w:tcW w:w="6244" w:type="dxa"/>
            <w:noWrap w:val="0"/>
            <w:vAlign w:val="center"/>
          </w:tcPr>
          <w:p>
            <w:pPr>
              <w:spacing w:line="280" w:lineRule="exact"/>
              <w:ind w:firstLine="480" w:firstLineChars="200"/>
              <w:rPr>
                <w:rFonts w:hint="eastAsia" w:ascii="仿宋_GB2312" w:hAnsi="仿宋_GB2312" w:eastAsia="仿宋_GB2312" w:cs="仿宋_GB2312"/>
                <w:color w:val="222222"/>
                <w:sz w:val="24"/>
                <w:szCs w:val="24"/>
                <w:shd w:val="clear" w:color="auto" w:fill="FFFFFF"/>
              </w:rPr>
            </w:pPr>
            <w:r>
              <w:rPr>
                <w:rFonts w:hint="eastAsia" w:ascii="仿宋_GB2312" w:hAnsi="仿宋_GB2312" w:eastAsia="仿宋_GB2312" w:cs="仿宋_GB2312"/>
                <w:color w:val="222222"/>
                <w:sz w:val="24"/>
                <w:szCs w:val="24"/>
                <w:shd w:val="clear" w:color="auto" w:fill="FFFFFF"/>
              </w:rPr>
              <w:t>《公证法》第二十七条   “申请办理公证的当事人应当向公证机构如实说明申请公证事项的有关情况，提供真实、合法、充分的证明材料；提供的证明材料不充分的，公证机构可以要求补充。”</w:t>
            </w:r>
          </w:p>
          <w:p>
            <w:pPr>
              <w:spacing w:line="280" w:lineRule="exact"/>
              <w:ind w:firstLine="480" w:firstLineChars="200"/>
              <w:rPr>
                <w:rFonts w:hint="eastAsia" w:ascii="仿宋_GB2312" w:hAnsi="仿宋_GB2312" w:eastAsia="仿宋_GB2312" w:cs="仿宋_GB2312"/>
                <w:color w:val="222222"/>
                <w:sz w:val="24"/>
                <w:szCs w:val="24"/>
                <w:shd w:val="clear" w:color="auto" w:fill="FFFFFF"/>
              </w:rPr>
            </w:pPr>
            <w:r>
              <w:rPr>
                <w:rFonts w:hint="eastAsia" w:ascii="仿宋_GB2312" w:hAnsi="仿宋_GB2312" w:eastAsia="仿宋_GB2312" w:cs="仿宋_GB2312"/>
                <w:color w:val="222222"/>
                <w:sz w:val="24"/>
                <w:szCs w:val="24"/>
                <w:shd w:val="clear" w:color="auto" w:fill="FFFFFF"/>
              </w:rPr>
              <w:t>《公证法》第二十八条   “公证机构办理公证，应当根据不同公证事项的办证规则，分别审查下列事项：</w:t>
            </w:r>
          </w:p>
          <w:p>
            <w:pPr>
              <w:spacing w:line="280" w:lineRule="exact"/>
              <w:ind w:firstLine="480" w:firstLineChars="200"/>
              <w:rPr>
                <w:rFonts w:hint="eastAsia" w:ascii="仿宋_GB2312" w:hAnsi="仿宋_GB2312" w:eastAsia="仿宋_GB2312" w:cs="仿宋_GB2312"/>
                <w:color w:val="222222"/>
                <w:sz w:val="24"/>
                <w:szCs w:val="24"/>
                <w:shd w:val="clear" w:color="auto" w:fill="FFFFFF"/>
              </w:rPr>
            </w:pPr>
            <w:r>
              <w:rPr>
                <w:rFonts w:hint="eastAsia" w:ascii="仿宋_GB2312" w:hAnsi="仿宋_GB2312" w:eastAsia="仿宋_GB2312" w:cs="仿宋_GB2312"/>
                <w:color w:val="222222"/>
                <w:sz w:val="24"/>
                <w:szCs w:val="24"/>
                <w:shd w:val="clear" w:color="auto" w:fill="FFFFFF"/>
              </w:rPr>
              <w:t>（一）当事人的身份、申请办理该项公证的资格以及相应的权利；</w:t>
            </w:r>
          </w:p>
          <w:p>
            <w:pPr>
              <w:spacing w:line="280" w:lineRule="exact"/>
              <w:rPr>
                <w:rFonts w:hint="eastAsia" w:ascii="仿宋_GB2312" w:hAnsi="仿宋_GB2312" w:eastAsia="仿宋_GB2312" w:cs="仿宋_GB2312"/>
                <w:color w:val="222222"/>
                <w:sz w:val="24"/>
                <w:szCs w:val="24"/>
                <w:shd w:val="clear" w:color="auto" w:fill="FFFFFF"/>
              </w:rPr>
            </w:pPr>
            <w:r>
              <w:rPr>
                <w:rFonts w:ascii="Arial" w:hAnsi="Arial" w:eastAsia="仿宋_GB2312" w:cs="Arial"/>
                <w:color w:val="222222"/>
                <w:sz w:val="24"/>
                <w:szCs w:val="24"/>
                <w:shd w:val="clear" w:color="auto" w:fill="FFFFFF"/>
              </w:rPr>
              <w:t>……</w:t>
            </w:r>
            <w:r>
              <w:rPr>
                <w:rFonts w:hint="eastAsia" w:ascii="Arial" w:hAnsi="Arial" w:eastAsia="仿宋_GB2312" w:cs="Arial"/>
                <w:color w:val="222222"/>
                <w:sz w:val="24"/>
                <w:szCs w:val="24"/>
                <w:shd w:val="clear" w:color="auto" w:fill="FFFFFF"/>
              </w:rPr>
              <w:t>”</w:t>
            </w:r>
          </w:p>
          <w:p>
            <w:pPr>
              <w:spacing w:line="280" w:lineRule="exact"/>
              <w:ind w:firstLine="480" w:firstLineChars="200"/>
              <w:rPr>
                <w:rFonts w:hint="eastAsia" w:ascii="仿宋_GB2312" w:hAnsi="仿宋_GB2312" w:eastAsia="仿宋_GB2312" w:cs="仿宋_GB2312"/>
                <w:color w:val="222222"/>
                <w:sz w:val="24"/>
                <w:szCs w:val="24"/>
                <w:shd w:val="clear" w:color="auto" w:fill="FFFFFF"/>
              </w:rPr>
            </w:pPr>
            <w:r>
              <w:rPr>
                <w:rFonts w:hint="eastAsia" w:ascii="仿宋_GB2312" w:hAnsi="仿宋_GB2312" w:eastAsia="仿宋_GB2312" w:cs="仿宋_GB2312"/>
                <w:color w:val="222222"/>
                <w:sz w:val="24"/>
                <w:szCs w:val="24"/>
                <w:shd w:val="clear" w:color="auto" w:fill="FFFFFF"/>
              </w:rPr>
              <w:t>《公证程序规则》第18条规定，“自然人、法人或者其他组织申请办理公证，应当提交下列材料：</w:t>
            </w:r>
          </w:p>
          <w:p>
            <w:pPr>
              <w:spacing w:line="280" w:lineRule="exact"/>
              <w:ind w:firstLine="480" w:firstLineChars="200"/>
              <w:rPr>
                <w:rFonts w:hint="eastAsia" w:ascii="仿宋_GB2312" w:hAnsi="仿宋_GB2312" w:eastAsia="仿宋_GB2312" w:cs="仿宋_GB2312"/>
                <w:color w:val="222222"/>
                <w:sz w:val="24"/>
                <w:szCs w:val="24"/>
                <w:shd w:val="clear" w:color="auto" w:fill="FFFFFF"/>
              </w:rPr>
            </w:pPr>
            <w:r>
              <w:rPr>
                <w:rFonts w:hint="eastAsia" w:ascii="仿宋_GB2312" w:hAnsi="仿宋_GB2312" w:eastAsia="仿宋_GB2312" w:cs="仿宋_GB2312"/>
                <w:color w:val="222222"/>
                <w:sz w:val="24"/>
                <w:szCs w:val="24"/>
                <w:shd w:val="clear" w:color="auto" w:fill="FFFFFF"/>
              </w:rPr>
              <w:t>（一）自然人的身份证明，法人的资格证明及其法定代表人的身份证明，其他组织的资格证明及其负责人的身份证明；</w:t>
            </w:r>
            <w:r>
              <w:rPr>
                <w:rFonts w:ascii="Arial" w:hAnsi="Arial" w:eastAsia="仿宋_GB2312" w:cs="Arial"/>
                <w:color w:val="222222"/>
                <w:sz w:val="24"/>
                <w:szCs w:val="24"/>
                <w:shd w:val="clear" w:color="auto" w:fill="FFFFFF"/>
              </w:rPr>
              <w:t>……</w:t>
            </w:r>
            <w:r>
              <w:rPr>
                <w:rFonts w:hint="eastAsia" w:ascii="仿宋_GB2312" w:hAnsi="仿宋_GB2312" w:eastAsia="仿宋_GB2312" w:cs="仿宋_GB2312"/>
                <w:color w:val="222222"/>
                <w:sz w:val="24"/>
                <w:szCs w:val="24"/>
                <w:shd w:val="clear" w:color="auto" w:fill="FFFFFF"/>
              </w:rPr>
              <w:t>”</w:t>
            </w:r>
          </w:p>
        </w:tc>
        <w:tc>
          <w:tcPr>
            <w:tcW w:w="3504" w:type="dxa"/>
            <w:noWrap w:val="0"/>
            <w:vAlign w:val="center"/>
          </w:tcPr>
          <w:p>
            <w:pPr>
              <w:spacing w:line="380" w:lineRule="exact"/>
              <w:ind w:left="654" w:hanging="654" w:hangingChars="287"/>
              <w:jc w:val="center"/>
              <w:rPr>
                <w:rFonts w:hint="eastAsia" w:ascii="仿宋_GB2312" w:hAnsi="仿宋_GB2312" w:eastAsia="仿宋_GB2312" w:cs="仿宋_GB2312"/>
                <w:spacing w:val="-6"/>
                <w:kern w:val="0"/>
                <w:sz w:val="24"/>
                <w:lang w:bidi="ar"/>
              </w:rPr>
            </w:pPr>
            <w:r>
              <w:rPr>
                <w:rFonts w:hint="eastAsia" w:ascii="仿宋_GB2312" w:hAnsi="仿宋_GB2312" w:eastAsia="仿宋_GB2312" w:cs="仿宋_GB2312"/>
                <w:spacing w:val="-6"/>
                <w:kern w:val="0"/>
                <w:sz w:val="24"/>
                <w:lang w:bidi="ar"/>
              </w:rPr>
              <w:t>承诺本人系法人机构的</w:t>
            </w:r>
          </w:p>
          <w:p>
            <w:pPr>
              <w:spacing w:line="380" w:lineRule="exact"/>
              <w:ind w:left="654" w:hanging="654" w:hangingChars="287"/>
              <w:jc w:val="center"/>
              <w:rPr>
                <w:rFonts w:hint="eastAsia" w:ascii="仿宋_GB2312" w:hAnsi="仿宋_GB2312" w:eastAsia="仿宋_GB2312" w:cs="仿宋_GB2312"/>
                <w:spacing w:val="-6"/>
                <w:kern w:val="0"/>
                <w:sz w:val="24"/>
                <w:lang w:bidi="ar"/>
              </w:rPr>
            </w:pPr>
            <w:r>
              <w:rPr>
                <w:rFonts w:hint="eastAsia" w:ascii="仿宋_GB2312" w:hAnsi="仿宋_GB2312" w:eastAsia="仿宋_GB2312" w:cs="仿宋_GB2312"/>
                <w:spacing w:val="-6"/>
                <w:kern w:val="0"/>
                <w:sz w:val="24"/>
                <w:lang w:bidi="ar"/>
              </w:rPr>
              <w:t>法定代表人</w:t>
            </w:r>
          </w:p>
        </w:tc>
      </w:tr>
    </w:tbl>
    <w:p>
      <w:pPr>
        <w:rPr>
          <w:rFonts w:hint="eastAsia" w:ascii="仿宋_GB2312" w:hAnsi="仿宋_GB2312" w:eastAsia="仿宋_GB2312" w:cs="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39254"/>
    <w:multiLevelType w:val="singleLevel"/>
    <w:tmpl w:val="37E39254"/>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NzdmMGQ0NTQ5MzdiNTNlYWE5ZmI4NjQ5MjY2YzEifQ=="/>
  </w:docVars>
  <w:rsids>
    <w:rsidRoot w:val="57F45879"/>
    <w:rsid w:val="06D15A49"/>
    <w:rsid w:val="1BF400B9"/>
    <w:rsid w:val="2C5830D1"/>
    <w:rsid w:val="2D8F7B06"/>
    <w:rsid w:val="354B7460"/>
    <w:rsid w:val="3D3D4FC4"/>
    <w:rsid w:val="42B12578"/>
    <w:rsid w:val="456B6447"/>
    <w:rsid w:val="57F45879"/>
    <w:rsid w:val="5DCB1D21"/>
    <w:rsid w:val="66D6390C"/>
    <w:rsid w:val="68030A35"/>
    <w:rsid w:val="698E2580"/>
    <w:rsid w:val="6A1D1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footer"/>
    <w:basedOn w:val="1"/>
    <w:qFormat/>
    <w:uiPriority w:val="99"/>
    <w:pPr>
      <w:tabs>
        <w:tab w:val="center" w:pos="4153"/>
        <w:tab w:val="right" w:pos="8306"/>
      </w:tabs>
      <w:snapToGrid w:val="0"/>
      <w:jc w:val="left"/>
    </w:pPr>
    <w:rPr>
      <w:kern w:val="0"/>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10949</Words>
  <Characters>11077</Characters>
  <Lines>0</Lines>
  <Paragraphs>0</Paragraphs>
  <TotalTime>27</TotalTime>
  <ScaleCrop>false</ScaleCrop>
  <LinksUpToDate>false</LinksUpToDate>
  <CharactersWithSpaces>11164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2023-08-15T01:18:00Z</dcterms:created>
  <dc:creator>恍若如梦</dc:creator>
  <cp:lastModifiedBy>米小米</cp:lastModifiedBy>
  <dcterms:modified xsi:type="dcterms:W3CDTF">2023-08-17T02:53:23Z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092183B0BD9647B59E446C95E7AB1E3A_13</vt:lpwstr>
  </property>
</Properties>
</file>